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BDAE05">
      <w:pPr>
        <w:keepNext w:val="0"/>
        <w:keepLines w:val="0"/>
        <w:pageBreakBefore w:val="0"/>
        <w:widowControl w:val="0"/>
        <w:kinsoku/>
        <w:wordWrap/>
        <w:topLinePunct w:val="0"/>
        <w:bidi w:val="0"/>
        <w:rPr>
          <w:rFonts w:ascii="黑体" w:hAnsi="宋体" w:eastAsia="黑体" w:cs="黑体"/>
          <w:sz w:val="44"/>
          <w:szCs w:val="44"/>
          <w:highlight w:val="none"/>
        </w:rPr>
      </w:pPr>
      <w:bookmarkStart w:id="0" w:name="_Toc27680"/>
      <w:bookmarkStart w:id="1" w:name="_Toc29222"/>
      <w:bookmarkStart w:id="2" w:name="_Toc12947"/>
    </w:p>
    <w:p w14:paraId="0685888C">
      <w:pPr>
        <w:pStyle w:val="9"/>
        <w:keepNext w:val="0"/>
        <w:keepLines w:val="0"/>
        <w:pageBreakBefore w:val="0"/>
        <w:widowControl w:val="0"/>
        <w:kinsoku/>
        <w:wordWrap/>
        <w:topLinePunct w:val="0"/>
        <w:bidi w:val="0"/>
        <w:ind w:left="0" w:leftChars="0" w:firstLine="0" w:firstLineChars="0"/>
        <w:rPr>
          <w:rFonts w:ascii="黑体" w:hAnsi="宋体" w:eastAsia="黑体" w:cs="黑体"/>
          <w:sz w:val="44"/>
          <w:szCs w:val="44"/>
          <w:highlight w:val="none"/>
        </w:rPr>
      </w:pPr>
    </w:p>
    <w:p w14:paraId="72DEF6EE">
      <w:pPr>
        <w:keepNext w:val="0"/>
        <w:keepLines w:val="0"/>
        <w:pageBreakBefore w:val="0"/>
        <w:widowControl w:val="0"/>
        <w:kinsoku/>
        <w:wordWrap/>
        <w:topLinePunct w:val="0"/>
        <w:bidi w:val="0"/>
        <w:rPr>
          <w:rFonts w:ascii="黑体" w:hAnsi="宋体" w:eastAsia="黑体" w:cs="黑体"/>
          <w:sz w:val="44"/>
          <w:szCs w:val="44"/>
          <w:highlight w:val="none"/>
        </w:rPr>
      </w:pPr>
    </w:p>
    <w:p w14:paraId="0B9DBFF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方正小标宋简体" w:hAnsi="宋体" w:eastAsia="方正小标宋简体" w:cs="黑体"/>
          <w:sz w:val="44"/>
          <w:szCs w:val="44"/>
          <w:highlight w:val="none"/>
        </w:rPr>
      </w:pPr>
      <w:r>
        <w:rPr>
          <w:rFonts w:hint="eastAsia" w:ascii="方正小标宋简体" w:hAnsi="宋体" w:eastAsia="方正小标宋简体" w:cs="黑体"/>
          <w:sz w:val="44"/>
          <w:szCs w:val="44"/>
          <w:highlight w:val="none"/>
          <w:lang w:eastAsia="zh-CN"/>
        </w:rPr>
        <w:t>忻州经济开发区管理委员会建设环保管理部</w:t>
      </w:r>
      <w:r>
        <w:rPr>
          <w:rFonts w:hint="eastAsia" w:ascii="方正小标宋简体" w:hAnsi="宋体" w:eastAsia="方正小标宋简体" w:cs="黑体"/>
          <w:sz w:val="44"/>
          <w:szCs w:val="44"/>
          <w:highlight w:val="none"/>
        </w:rPr>
        <w:t>2023年度部门整体绩效评价报告</w:t>
      </w:r>
    </w:p>
    <w:p w14:paraId="16219C3D">
      <w:pPr>
        <w:keepNext w:val="0"/>
        <w:keepLines w:val="0"/>
        <w:pageBreakBefore w:val="0"/>
        <w:widowControl w:val="0"/>
        <w:kinsoku/>
        <w:wordWrap/>
        <w:topLinePunct w:val="0"/>
        <w:autoSpaceDE w:val="0"/>
        <w:autoSpaceDN w:val="0"/>
        <w:bidi w:val="0"/>
        <w:adjustRightInd w:val="0"/>
        <w:jc w:val="center"/>
        <w:rPr>
          <w:rFonts w:eastAsia="仿宋"/>
          <w:kern w:val="0"/>
          <w:sz w:val="30"/>
          <w:szCs w:val="30"/>
          <w:highlight w:val="none"/>
        </w:rPr>
      </w:pPr>
      <w:r>
        <w:rPr>
          <w:rFonts w:hint="eastAsia" w:ascii="Times New Roman" w:hAnsi="Times New Roman" w:eastAsia="方正小标宋简体" w:cs="Times New Roman"/>
          <w:sz w:val="32"/>
          <w:szCs w:val="32"/>
          <w:highlight w:val="none"/>
        </w:rPr>
        <w:t>中普绩</w:t>
      </w:r>
      <w:r>
        <w:rPr>
          <w:rFonts w:ascii="Times New Roman" w:hAnsi="Times New Roman" w:eastAsia="仿宋_GB2312" w:cs="Times New Roman"/>
          <w:sz w:val="32"/>
          <w:szCs w:val="32"/>
          <w:highlight w:val="none"/>
        </w:rPr>
        <w:t>〔20</w:t>
      </w:r>
      <w:r>
        <w:rPr>
          <w:rFonts w:hint="eastAsia" w:ascii="Times New Roman" w:hAnsi="Times New Roman" w:eastAsia="仿宋_GB2312" w:cs="Times New Roman"/>
          <w:sz w:val="32"/>
          <w:szCs w:val="32"/>
          <w:highlight w:val="none"/>
        </w:rPr>
        <w:t>24</w:t>
      </w:r>
      <w:r>
        <w:rPr>
          <w:rFonts w:ascii="Times New Roman" w:hAnsi="Times New Roman" w:eastAsia="仿宋_GB2312" w:cs="Times New Roman"/>
          <w:sz w:val="32"/>
          <w:szCs w:val="32"/>
          <w:highlight w:val="none"/>
        </w:rPr>
        <w:t>〕</w:t>
      </w:r>
      <w:r>
        <w:rPr>
          <w:rFonts w:hint="eastAsia" w:ascii="Times New Roman" w:hAnsi="Times New Roman" w:eastAsia="方正小标宋简体" w:cs="Times New Roman"/>
          <w:sz w:val="32"/>
          <w:szCs w:val="32"/>
          <w:highlight w:val="none"/>
        </w:rPr>
        <w:t>04</w:t>
      </w:r>
      <w:r>
        <w:rPr>
          <w:rFonts w:hint="eastAsia" w:ascii="Times New Roman" w:hAnsi="Times New Roman" w:eastAsia="方正小标宋简体" w:cs="Times New Roman"/>
          <w:sz w:val="32"/>
          <w:szCs w:val="32"/>
          <w:highlight w:val="none"/>
          <w:lang w:val="en-US" w:eastAsia="zh-CN"/>
        </w:rPr>
        <w:t>9</w:t>
      </w:r>
      <w:r>
        <w:rPr>
          <w:rFonts w:hint="eastAsia" w:ascii="Times New Roman" w:hAnsi="Times New Roman" w:eastAsia="方正小标宋简体" w:cs="Times New Roman"/>
          <w:sz w:val="32"/>
          <w:szCs w:val="32"/>
          <w:highlight w:val="none"/>
        </w:rPr>
        <w:t>号</w:t>
      </w:r>
    </w:p>
    <w:p w14:paraId="0BFC3CBC">
      <w:pPr>
        <w:keepNext w:val="0"/>
        <w:keepLines w:val="0"/>
        <w:pageBreakBefore w:val="0"/>
        <w:widowControl w:val="0"/>
        <w:kinsoku/>
        <w:wordWrap/>
        <w:overflowPunct w:val="0"/>
        <w:topLinePunct w:val="0"/>
        <w:autoSpaceDE w:val="0"/>
        <w:autoSpaceDN w:val="0"/>
        <w:bidi w:val="0"/>
        <w:adjustRightInd w:val="0"/>
        <w:spacing w:line="360" w:lineRule="auto"/>
        <w:rPr>
          <w:rFonts w:ascii="方正小标宋简体" w:hAnsi="方正小标宋简体" w:eastAsia="方正小标宋简体" w:cs="方正小标宋简体"/>
          <w:sz w:val="32"/>
          <w:szCs w:val="32"/>
          <w:highlight w:val="none"/>
        </w:rPr>
      </w:pPr>
    </w:p>
    <w:p w14:paraId="40F0CC13">
      <w:pPr>
        <w:pStyle w:val="2"/>
        <w:rPr>
          <w:rFonts w:ascii="方正小标宋简体" w:hAnsi="方正小标宋简体" w:eastAsia="方正小标宋简体" w:cs="方正小标宋简体"/>
          <w:sz w:val="32"/>
          <w:szCs w:val="32"/>
          <w:highlight w:val="none"/>
        </w:rPr>
      </w:pPr>
    </w:p>
    <w:p w14:paraId="2D3C0957">
      <w:pPr>
        <w:rPr>
          <w:rFonts w:ascii="方正小标宋简体" w:hAnsi="方正小标宋简体" w:eastAsia="方正小标宋简体" w:cs="方正小标宋简体"/>
          <w:sz w:val="32"/>
          <w:szCs w:val="32"/>
          <w:highlight w:val="none"/>
        </w:rPr>
      </w:pPr>
    </w:p>
    <w:p w14:paraId="6A96D286">
      <w:pPr>
        <w:pStyle w:val="2"/>
        <w:rPr>
          <w:rFonts w:ascii="方正小标宋简体" w:hAnsi="方正小标宋简体" w:eastAsia="方正小标宋简体" w:cs="方正小标宋简体"/>
          <w:sz w:val="32"/>
          <w:szCs w:val="32"/>
          <w:highlight w:val="none"/>
        </w:rPr>
      </w:pPr>
    </w:p>
    <w:p w14:paraId="74D9F442">
      <w:pPr>
        <w:rPr>
          <w:rFonts w:ascii="方正小标宋简体" w:hAnsi="方正小标宋简体" w:eastAsia="方正小标宋简体" w:cs="方正小标宋简体"/>
          <w:sz w:val="32"/>
          <w:szCs w:val="32"/>
          <w:highlight w:val="none"/>
        </w:rPr>
      </w:pPr>
    </w:p>
    <w:p w14:paraId="40277B05">
      <w:pPr>
        <w:keepNext w:val="0"/>
        <w:keepLines w:val="0"/>
        <w:pageBreakBefore w:val="0"/>
        <w:widowControl w:val="0"/>
        <w:kinsoku/>
        <w:wordWrap/>
        <w:overflowPunct w:val="0"/>
        <w:topLinePunct w:val="0"/>
        <w:autoSpaceDE w:val="0"/>
        <w:autoSpaceDN w:val="0"/>
        <w:bidi w:val="0"/>
        <w:adjustRightInd w:val="0"/>
        <w:snapToGrid/>
        <w:spacing w:line="360" w:lineRule="auto"/>
        <w:ind w:left="1600" w:hanging="1600" w:hangingChars="500"/>
        <w:textAlignment w:val="auto"/>
        <w:rPr>
          <w:rFonts w:ascii="方正小标宋简体" w:hAnsi="方正小标宋简体" w:eastAsia="方正小标宋简体" w:cs="方正小标宋简体"/>
          <w:sz w:val="32"/>
          <w:szCs w:val="32"/>
          <w:highlight w:val="none"/>
        </w:rPr>
      </w:pPr>
      <w:r>
        <w:rPr>
          <w:rFonts w:hint="eastAsia" w:ascii="方正小标宋简体" w:hAnsi="方正小标宋简体" w:eastAsia="方正小标宋简体" w:cs="方正小标宋简体"/>
          <w:sz w:val="32"/>
          <w:szCs w:val="32"/>
          <w:highlight w:val="none"/>
        </w:rPr>
        <w:t>评价对象：</w:t>
      </w:r>
      <w:r>
        <w:rPr>
          <w:rFonts w:hint="eastAsia" w:ascii="方正小标宋简体" w:hAnsi="方正小标宋简体" w:eastAsia="方正小标宋简体" w:cs="方正小标宋简体"/>
          <w:sz w:val="32"/>
          <w:szCs w:val="32"/>
          <w:highlight w:val="none"/>
          <w:lang w:eastAsia="zh-CN"/>
        </w:rPr>
        <w:t>忻州经济开发区管理委员会建设环保管理部</w:t>
      </w:r>
      <w:r>
        <w:rPr>
          <w:rFonts w:hint="eastAsia" w:ascii="方正小标宋简体" w:hAnsi="方正小标宋简体" w:eastAsia="方正小标宋简体" w:cs="方正小标宋简体"/>
          <w:sz w:val="32"/>
          <w:szCs w:val="32"/>
          <w:highlight w:val="none"/>
        </w:rPr>
        <w:t>2023年度部门整体</w:t>
      </w:r>
    </w:p>
    <w:p w14:paraId="6E96A8F2">
      <w:pPr>
        <w:keepNext w:val="0"/>
        <w:keepLines w:val="0"/>
        <w:pageBreakBefore w:val="0"/>
        <w:widowControl w:val="0"/>
        <w:kinsoku/>
        <w:wordWrap/>
        <w:overflowPunct w:val="0"/>
        <w:topLinePunct w:val="0"/>
        <w:autoSpaceDE w:val="0"/>
        <w:autoSpaceDN w:val="0"/>
        <w:bidi w:val="0"/>
        <w:adjustRightInd w:val="0"/>
        <w:snapToGrid/>
        <w:spacing w:line="360" w:lineRule="auto"/>
        <w:textAlignment w:val="auto"/>
        <w:rPr>
          <w:rFonts w:ascii="方正小标宋简体" w:hAnsi="方正小标宋简体" w:eastAsia="方正小标宋简体" w:cs="方正小标宋简体"/>
          <w:sz w:val="32"/>
          <w:szCs w:val="32"/>
          <w:highlight w:val="none"/>
        </w:rPr>
      </w:pPr>
      <w:r>
        <w:rPr>
          <w:rFonts w:hint="eastAsia" w:ascii="方正小标宋简体" w:hAnsi="方正小标宋简体" w:eastAsia="方正小标宋简体" w:cs="方正小标宋简体"/>
          <w:sz w:val="32"/>
          <w:szCs w:val="32"/>
          <w:highlight w:val="none"/>
        </w:rPr>
        <w:t>委托单位：</w:t>
      </w:r>
      <w:r>
        <w:rPr>
          <w:rFonts w:hint="eastAsia" w:ascii="方正小标宋简体" w:hAnsi="方正小标宋简体" w:eastAsia="方正小标宋简体" w:cs="方正小标宋简体"/>
          <w:sz w:val="32"/>
          <w:szCs w:val="32"/>
          <w:highlight w:val="none"/>
          <w:lang w:val="en-US" w:eastAsia="zh-CN"/>
        </w:rPr>
        <w:t>忻州经济开发区管理委员会财政管理运营部</w:t>
      </w:r>
    </w:p>
    <w:p w14:paraId="4DC9DB70">
      <w:pPr>
        <w:keepNext w:val="0"/>
        <w:keepLines w:val="0"/>
        <w:pageBreakBefore w:val="0"/>
        <w:widowControl w:val="0"/>
        <w:kinsoku/>
        <w:wordWrap/>
        <w:overflowPunct w:val="0"/>
        <w:topLinePunct w:val="0"/>
        <w:autoSpaceDE w:val="0"/>
        <w:autoSpaceDN w:val="0"/>
        <w:bidi w:val="0"/>
        <w:adjustRightInd w:val="0"/>
        <w:snapToGrid/>
        <w:spacing w:line="360" w:lineRule="auto"/>
        <w:textAlignment w:val="auto"/>
        <w:rPr>
          <w:rFonts w:hint="eastAsia" w:ascii="方正小标宋简体" w:hAnsi="方正小标宋简体" w:eastAsia="方正小标宋简体" w:cs="方正小标宋简体"/>
          <w:sz w:val="32"/>
          <w:szCs w:val="32"/>
          <w:highlight w:val="none"/>
          <w:lang w:eastAsia="zh-CN"/>
        </w:rPr>
      </w:pPr>
      <w:r>
        <w:rPr>
          <w:rFonts w:hint="eastAsia" w:ascii="方正小标宋简体" w:hAnsi="方正小标宋简体" w:eastAsia="方正小标宋简体" w:cs="方正小标宋简体"/>
          <w:sz w:val="32"/>
          <w:szCs w:val="32"/>
          <w:highlight w:val="none"/>
        </w:rPr>
        <w:t>评价机构：</w:t>
      </w:r>
      <w:r>
        <w:rPr>
          <w:rFonts w:hint="eastAsia" w:ascii="方正小标宋简体" w:hAnsi="方正小标宋简体" w:eastAsia="方正小标宋简体" w:cs="方正小标宋简体"/>
          <w:sz w:val="32"/>
          <w:szCs w:val="32"/>
          <w:highlight w:val="none"/>
          <w:lang w:eastAsia="zh-CN"/>
        </w:rPr>
        <w:t>山西中普绩效管理咨询有限公司</w:t>
      </w:r>
    </w:p>
    <w:p w14:paraId="6C74B1D4">
      <w:pPr>
        <w:keepNext w:val="0"/>
        <w:keepLines w:val="0"/>
        <w:pageBreakBefore w:val="0"/>
        <w:widowControl w:val="0"/>
        <w:kinsoku/>
        <w:wordWrap/>
        <w:overflowPunct w:val="0"/>
        <w:topLinePunct w:val="0"/>
        <w:autoSpaceDE w:val="0"/>
        <w:autoSpaceDN w:val="0"/>
        <w:bidi w:val="0"/>
        <w:adjustRightInd w:val="0"/>
        <w:snapToGrid/>
        <w:spacing w:line="360" w:lineRule="auto"/>
        <w:textAlignment w:val="auto"/>
        <w:rPr>
          <w:rFonts w:hint="default" w:ascii="方正小标宋简体" w:hAnsi="方正小标宋简体" w:eastAsia="方正小标宋简体" w:cs="方正小标宋简体"/>
          <w:sz w:val="32"/>
          <w:szCs w:val="32"/>
          <w:highlight w:val="none"/>
          <w:lang w:val="en-US" w:eastAsia="zh-CN"/>
        </w:rPr>
      </w:pPr>
      <w:r>
        <w:rPr>
          <w:rFonts w:hint="eastAsia" w:ascii="方正小标宋简体" w:hAnsi="方正小标宋简体" w:eastAsia="方正小标宋简体" w:cs="方正小标宋简体"/>
          <w:sz w:val="32"/>
          <w:szCs w:val="32"/>
          <w:highlight w:val="none"/>
          <w:lang w:val="en-US" w:eastAsia="zh-CN"/>
        </w:rPr>
        <w:t>主 评 人：李俊峰</w:t>
      </w:r>
    </w:p>
    <w:p w14:paraId="6FF83000">
      <w:pPr>
        <w:pStyle w:val="12"/>
        <w:keepNext w:val="0"/>
        <w:keepLines w:val="0"/>
        <w:pageBreakBefore w:val="0"/>
        <w:widowControl w:val="0"/>
        <w:kinsoku/>
        <w:wordWrap/>
        <w:topLinePunct w:val="0"/>
        <w:bidi w:val="0"/>
        <w:ind w:left="400" w:firstLine="600"/>
        <w:rPr>
          <w:highlight w:val="none"/>
        </w:rPr>
      </w:pPr>
    </w:p>
    <w:p w14:paraId="4D12E6EC">
      <w:pPr>
        <w:keepNext w:val="0"/>
        <w:keepLines w:val="0"/>
        <w:pageBreakBefore w:val="0"/>
        <w:widowControl w:val="0"/>
        <w:kinsoku/>
        <w:wordWrap/>
        <w:overflowPunct w:val="0"/>
        <w:topLinePunct w:val="0"/>
        <w:autoSpaceDE w:val="0"/>
        <w:autoSpaceDN w:val="0"/>
        <w:bidi w:val="0"/>
        <w:adjustRightInd w:val="0"/>
        <w:spacing w:line="360" w:lineRule="auto"/>
        <w:jc w:val="center"/>
        <w:rPr>
          <w:rFonts w:ascii="方正小标宋简体" w:hAnsi="方正小标宋简体" w:eastAsia="方正小标宋简体" w:cs="方正小标宋简体"/>
          <w:sz w:val="32"/>
          <w:szCs w:val="32"/>
          <w:highlight w:val="none"/>
        </w:rPr>
        <w:sectPr>
          <w:headerReference r:id="rId3" w:type="default"/>
          <w:pgSz w:w="11906" w:h="16838"/>
          <w:pgMar w:top="2098" w:right="1531" w:bottom="1985" w:left="1531" w:header="964" w:footer="1020" w:gutter="0"/>
          <w:pgNumType w:fmt="numberInDash"/>
          <w:cols w:space="425" w:num="1"/>
          <w:docGrid w:linePitch="312" w:charSpace="0"/>
        </w:sectPr>
      </w:pPr>
      <w:r>
        <w:rPr>
          <w:rFonts w:hint="eastAsia" w:ascii="方正小标宋简体" w:hAnsi="方正小标宋简体" w:eastAsia="方正小标宋简体" w:cs="方正小标宋简体"/>
          <w:sz w:val="32"/>
          <w:szCs w:val="32"/>
          <w:highlight w:val="none"/>
        </w:rPr>
        <w:t>二〇二</w:t>
      </w:r>
      <w:r>
        <w:rPr>
          <w:rFonts w:hint="eastAsia" w:ascii="方正小标宋简体" w:hAnsi="方正小标宋简体" w:eastAsia="方正小标宋简体" w:cs="方正小标宋简体"/>
          <w:sz w:val="32"/>
          <w:szCs w:val="32"/>
          <w:highlight w:val="none"/>
          <w:lang w:val="en-US" w:eastAsia="zh-CN"/>
        </w:rPr>
        <w:t>四</w:t>
      </w:r>
      <w:r>
        <w:rPr>
          <w:rFonts w:hint="eastAsia" w:ascii="方正小标宋简体" w:hAnsi="方正小标宋简体" w:eastAsia="方正小标宋简体" w:cs="方正小标宋简体"/>
          <w:sz w:val="32"/>
          <w:szCs w:val="32"/>
          <w:highlight w:val="none"/>
        </w:rPr>
        <w:t>年</w:t>
      </w:r>
      <w:r>
        <w:rPr>
          <w:rFonts w:hint="eastAsia" w:ascii="方正小标宋简体" w:hAnsi="方正小标宋简体" w:eastAsia="方正小标宋简体" w:cs="方正小标宋简体"/>
          <w:sz w:val="32"/>
          <w:szCs w:val="32"/>
          <w:highlight w:val="none"/>
          <w:lang w:val="en-US" w:eastAsia="zh-CN"/>
        </w:rPr>
        <w:t>十一</w:t>
      </w:r>
      <w:r>
        <w:rPr>
          <w:rFonts w:hint="eastAsia" w:ascii="方正小标宋简体" w:hAnsi="方正小标宋简体" w:eastAsia="方正小标宋简体" w:cs="方正小标宋简体"/>
          <w:sz w:val="32"/>
          <w:szCs w:val="32"/>
          <w:highlight w:val="none"/>
        </w:rPr>
        <w:t>月</w:t>
      </w:r>
    </w:p>
    <w:p w14:paraId="1AA36EB6">
      <w:pPr>
        <w:keepNext w:val="0"/>
        <w:keepLines w:val="0"/>
        <w:pageBreakBefore w:val="0"/>
        <w:widowControl w:val="0"/>
        <w:kinsoku/>
        <w:wordWrap/>
        <w:topLinePunct w:val="0"/>
        <w:bidi w:val="0"/>
        <w:ind w:firstLine="3360" w:firstLineChars="1050"/>
        <w:rPr>
          <w:rFonts w:ascii="黑体" w:hAnsi="宋体" w:eastAsia="黑体" w:cs="黑体"/>
          <w:sz w:val="32"/>
          <w:szCs w:val="32"/>
          <w:highlight w:val="none"/>
        </w:rPr>
      </w:pPr>
    </w:p>
    <w:bookmarkEnd w:id="0"/>
    <w:bookmarkEnd w:id="1"/>
    <w:bookmarkEnd w:id="2"/>
    <w:p w14:paraId="141CB30D">
      <w:pPr>
        <w:keepNext w:val="0"/>
        <w:keepLines w:val="0"/>
        <w:pageBreakBefore w:val="0"/>
        <w:widowControl w:val="0"/>
        <w:kinsoku/>
        <w:wordWrap/>
        <w:topLinePunct w:val="0"/>
        <w:bidi w:val="0"/>
        <w:jc w:val="center"/>
        <w:outlineLvl w:val="0"/>
        <w:rPr>
          <w:rFonts w:eastAsia="方正小标宋简体" w:cs="方正小标宋简体"/>
          <w:bCs/>
          <w:sz w:val="44"/>
          <w:szCs w:val="44"/>
          <w:highlight w:val="none"/>
        </w:rPr>
      </w:pPr>
      <w:bookmarkStart w:id="3" w:name="_Toc63249335"/>
      <w:bookmarkStart w:id="4" w:name="_Toc21100"/>
      <w:bookmarkStart w:id="5" w:name="_Toc2261"/>
      <w:r>
        <w:rPr>
          <w:rFonts w:hint="eastAsia" w:eastAsia="方正小标宋简体" w:cs="方正小标宋简体"/>
          <w:bCs/>
          <w:sz w:val="44"/>
          <w:szCs w:val="44"/>
          <w:highlight w:val="none"/>
        </w:rPr>
        <w:t>摘</w:t>
      </w:r>
      <w:r>
        <w:rPr>
          <w:rFonts w:hint="eastAsia" w:eastAsia="方正小标宋简体" w:cs="方正小标宋简体"/>
          <w:bCs/>
          <w:sz w:val="44"/>
          <w:szCs w:val="44"/>
          <w:highlight w:val="none"/>
          <w:lang w:val="en-US" w:eastAsia="zh-CN"/>
        </w:rPr>
        <w:t xml:space="preserve">  </w:t>
      </w:r>
      <w:r>
        <w:rPr>
          <w:rFonts w:hint="eastAsia" w:eastAsia="方正小标宋简体" w:cs="方正小标宋简体"/>
          <w:bCs/>
          <w:sz w:val="44"/>
          <w:szCs w:val="44"/>
          <w:highlight w:val="none"/>
        </w:rPr>
        <w:t>要</w:t>
      </w:r>
      <w:bookmarkEnd w:id="3"/>
      <w:bookmarkEnd w:id="4"/>
      <w:bookmarkEnd w:id="5"/>
    </w:p>
    <w:p w14:paraId="3991DDC2">
      <w:pPr>
        <w:keepNext w:val="0"/>
        <w:keepLines w:val="0"/>
        <w:pageBreakBefore w:val="0"/>
        <w:widowControl w:val="0"/>
        <w:kinsoku/>
        <w:wordWrap/>
        <w:topLinePunct w:val="0"/>
        <w:bidi w:val="0"/>
        <w:spacing w:line="360" w:lineRule="auto"/>
        <w:ind w:firstLine="640" w:firstLineChars="200"/>
        <w:jc w:val="both"/>
        <w:rPr>
          <w:rFonts w:eastAsia="仿宋_GB2312" w:cs="仿宋_GB2312"/>
          <w:sz w:val="32"/>
          <w:szCs w:val="32"/>
          <w:highlight w:val="none"/>
        </w:rPr>
      </w:pPr>
    </w:p>
    <w:p w14:paraId="03550924">
      <w:pPr>
        <w:keepNext w:val="0"/>
        <w:keepLines w:val="0"/>
        <w:pageBreakBefore w:val="0"/>
        <w:widowControl w:val="0"/>
        <w:kinsoku/>
        <w:wordWrap/>
        <w:overflowPunct w:val="0"/>
        <w:topLinePunct w:val="0"/>
        <w:autoSpaceDE/>
        <w:autoSpaceDN/>
        <w:bidi w:val="0"/>
        <w:adjustRightInd/>
        <w:snapToGrid/>
        <w:spacing w:line="360" w:lineRule="auto"/>
        <w:ind w:firstLine="640" w:firstLineChars="200"/>
        <w:jc w:val="both"/>
        <w:textAlignment w:val="auto"/>
        <w:rPr>
          <w:rFonts w:eastAsia="仿宋_GB2312" w:cs="仿宋_GB2312"/>
          <w:bCs/>
          <w:sz w:val="32"/>
          <w:szCs w:val="32"/>
          <w:highlight w:val="none"/>
        </w:rPr>
      </w:pPr>
      <w:r>
        <w:rPr>
          <w:rFonts w:hint="eastAsia" w:eastAsia="仿宋_GB2312" w:cs="仿宋_GB2312"/>
          <w:bCs/>
          <w:sz w:val="32"/>
          <w:szCs w:val="32"/>
          <w:highlight w:val="none"/>
        </w:rPr>
        <w:t>受</w:t>
      </w:r>
      <w:r>
        <w:rPr>
          <w:rFonts w:hint="eastAsia" w:eastAsia="仿宋_GB2312" w:cs="仿宋_GB2312"/>
          <w:bCs/>
          <w:sz w:val="32"/>
          <w:szCs w:val="32"/>
          <w:highlight w:val="none"/>
          <w:lang w:val="en-US" w:eastAsia="zh-CN"/>
        </w:rPr>
        <w:t>忻州经济开发区管理委员会财政管理运营部</w:t>
      </w:r>
      <w:r>
        <w:rPr>
          <w:rFonts w:hint="eastAsia" w:eastAsia="仿宋_GB2312" w:cs="仿宋_GB2312"/>
          <w:bCs/>
          <w:sz w:val="32"/>
          <w:szCs w:val="32"/>
          <w:highlight w:val="none"/>
        </w:rPr>
        <w:t>委托，</w:t>
      </w:r>
      <w:r>
        <w:rPr>
          <w:rFonts w:hint="eastAsia" w:eastAsia="仿宋_GB2312" w:cs="仿宋_GB2312"/>
          <w:bCs/>
          <w:sz w:val="32"/>
          <w:szCs w:val="32"/>
          <w:highlight w:val="none"/>
          <w:lang w:eastAsia="zh-CN"/>
        </w:rPr>
        <w:t>山西中普绩效管理咨询有限公司</w:t>
      </w:r>
      <w:r>
        <w:rPr>
          <w:rFonts w:hint="eastAsia" w:eastAsia="仿宋_GB2312" w:cs="仿宋_GB2312"/>
          <w:bCs/>
          <w:sz w:val="32"/>
          <w:szCs w:val="32"/>
          <w:highlight w:val="none"/>
        </w:rPr>
        <w:t>本着科学规范、公平公正、绩效相关的原则，对</w:t>
      </w:r>
      <w:r>
        <w:rPr>
          <w:rFonts w:hint="eastAsia" w:eastAsia="仿宋_GB2312" w:cs="仿宋_GB2312"/>
          <w:bCs/>
          <w:sz w:val="32"/>
          <w:szCs w:val="32"/>
          <w:highlight w:val="none"/>
          <w:lang w:eastAsia="zh-CN"/>
        </w:rPr>
        <w:t>忻州经济开发区管理委员会建设环保管理部2023年度部门整体</w:t>
      </w:r>
      <w:r>
        <w:rPr>
          <w:rFonts w:hint="eastAsia" w:eastAsia="仿宋_GB2312" w:cs="仿宋_GB2312"/>
          <w:bCs/>
          <w:sz w:val="32"/>
          <w:szCs w:val="32"/>
          <w:highlight w:val="none"/>
        </w:rPr>
        <w:t>进行了绩效评价，本次绩效评价严格按照</w:t>
      </w:r>
      <w:r>
        <w:rPr>
          <w:rFonts w:hint="eastAsia" w:eastAsia="仿宋_GB2312" w:cs="仿宋_GB2312"/>
          <w:bCs/>
          <w:sz w:val="32"/>
          <w:szCs w:val="32"/>
          <w:highlight w:val="none"/>
          <w:lang w:val="en-US" w:eastAsia="zh-CN"/>
        </w:rPr>
        <w:t>委托方相关</w:t>
      </w:r>
      <w:r>
        <w:rPr>
          <w:rFonts w:hint="eastAsia" w:eastAsia="仿宋_GB2312" w:cs="MS Gothic"/>
          <w:sz w:val="32"/>
          <w:szCs w:val="32"/>
          <w:highlight w:val="none"/>
        </w:rPr>
        <w:t>要求</w:t>
      </w:r>
      <w:r>
        <w:rPr>
          <w:rFonts w:hint="eastAsia" w:eastAsia="仿宋_GB2312" w:cs="仿宋_GB2312"/>
          <w:bCs/>
          <w:sz w:val="32"/>
          <w:szCs w:val="32"/>
          <w:highlight w:val="none"/>
        </w:rPr>
        <w:t>进行。</w:t>
      </w:r>
    </w:p>
    <w:p w14:paraId="3FCE29F9">
      <w:pPr>
        <w:keepNext w:val="0"/>
        <w:keepLines w:val="0"/>
        <w:pageBreakBefore w:val="0"/>
        <w:widowControl w:val="0"/>
        <w:kinsoku/>
        <w:wordWrap/>
        <w:overflowPunct w:val="0"/>
        <w:topLinePunct w:val="0"/>
        <w:autoSpaceDE/>
        <w:autoSpaceDN/>
        <w:bidi w:val="0"/>
        <w:adjustRightInd/>
        <w:snapToGrid/>
        <w:spacing w:line="360" w:lineRule="auto"/>
        <w:ind w:firstLine="640" w:firstLineChars="200"/>
        <w:jc w:val="both"/>
        <w:textAlignment w:val="auto"/>
        <w:rPr>
          <w:rFonts w:eastAsia="黑体" w:cs="黑体"/>
          <w:bCs/>
          <w:sz w:val="32"/>
          <w:szCs w:val="32"/>
          <w:highlight w:val="none"/>
        </w:rPr>
      </w:pPr>
      <w:r>
        <w:rPr>
          <w:rFonts w:hint="eastAsia" w:eastAsia="黑体" w:cs="黑体"/>
          <w:bCs/>
          <w:sz w:val="32"/>
          <w:szCs w:val="32"/>
          <w:highlight w:val="none"/>
        </w:rPr>
        <w:t>一、概述要素</w:t>
      </w:r>
    </w:p>
    <w:p w14:paraId="7A5881BC">
      <w:pPr>
        <w:keepNext w:val="0"/>
        <w:keepLines w:val="0"/>
        <w:pageBreakBefore w:val="0"/>
        <w:widowControl w:val="0"/>
        <w:kinsoku/>
        <w:wordWrap/>
        <w:overflowPunct w:val="0"/>
        <w:topLinePunct w:val="0"/>
        <w:autoSpaceDE/>
        <w:autoSpaceDN/>
        <w:bidi w:val="0"/>
        <w:adjustRightInd/>
        <w:snapToGrid/>
        <w:spacing w:line="360" w:lineRule="auto"/>
        <w:ind w:firstLine="640" w:firstLineChars="200"/>
        <w:jc w:val="both"/>
        <w:textAlignment w:val="auto"/>
        <w:rPr>
          <w:rFonts w:eastAsia="楷体"/>
          <w:bCs/>
          <w:sz w:val="32"/>
          <w:szCs w:val="32"/>
          <w:highlight w:val="none"/>
        </w:rPr>
      </w:pPr>
      <w:r>
        <w:rPr>
          <w:rFonts w:hint="eastAsia" w:eastAsia="楷体"/>
          <w:bCs/>
          <w:sz w:val="32"/>
          <w:szCs w:val="32"/>
          <w:highlight w:val="none"/>
        </w:rPr>
        <w:t>（一）部门概况</w:t>
      </w:r>
    </w:p>
    <w:p w14:paraId="6ED9FE56">
      <w:pPr>
        <w:keepNext w:val="0"/>
        <w:keepLines w:val="0"/>
        <w:pageBreakBefore w:val="0"/>
        <w:widowControl w:val="0"/>
        <w:kinsoku/>
        <w:wordWrap/>
        <w:overflowPunct w:val="0"/>
        <w:topLinePunct w:val="0"/>
        <w:autoSpaceDE/>
        <w:autoSpaceDN/>
        <w:bidi w:val="0"/>
        <w:adjustRightInd/>
        <w:snapToGrid/>
        <w:spacing w:line="360" w:lineRule="auto"/>
        <w:ind w:firstLine="643" w:firstLineChars="200"/>
        <w:jc w:val="both"/>
        <w:textAlignment w:val="auto"/>
        <w:rPr>
          <w:rFonts w:hint="eastAsia" w:eastAsia="仿宋_GB2312"/>
          <w:sz w:val="32"/>
          <w:szCs w:val="32"/>
          <w:highlight w:val="none"/>
          <w:lang w:eastAsia="zh-CN"/>
        </w:rPr>
      </w:pPr>
      <w:r>
        <w:rPr>
          <w:rFonts w:hint="eastAsia" w:eastAsia="仿宋_GB2312" w:cs="仿宋_GB2312"/>
          <w:b/>
          <w:sz w:val="32"/>
          <w:szCs w:val="32"/>
          <w:highlight w:val="none"/>
        </w:rPr>
        <w:t>1</w:t>
      </w:r>
      <w:r>
        <w:rPr>
          <w:rFonts w:hint="eastAsia" w:ascii="仿宋_GB2312" w:hAnsi="仿宋_GB2312" w:eastAsia="仿宋_GB2312" w:cs="仿宋_GB2312"/>
          <w:b/>
          <w:sz w:val="32"/>
          <w:szCs w:val="32"/>
          <w:highlight w:val="none"/>
        </w:rPr>
        <w:t>.机构设置。</w:t>
      </w:r>
      <w:r>
        <w:rPr>
          <w:rFonts w:hint="eastAsia" w:eastAsia="仿宋_GB2312"/>
          <w:sz w:val="32"/>
          <w:szCs w:val="32"/>
          <w:highlight w:val="none"/>
          <w:lang w:eastAsia="zh-CN"/>
        </w:rPr>
        <w:t>忻州经济开发区管理委员会是市人民政府派出机构，为正处级，归又市商务局管理，代表市人民政府在开发区行使经济管理及部分行政管理权。中共忻州经济开发区工作委员会是市委派出机关，与忻州开发区管委会合署办公、一套机构。</w:t>
      </w:r>
    </w:p>
    <w:p w14:paraId="153A825B">
      <w:pPr>
        <w:keepNext w:val="0"/>
        <w:keepLines w:val="0"/>
        <w:pageBreakBefore w:val="0"/>
        <w:widowControl w:val="0"/>
        <w:kinsoku/>
        <w:wordWrap/>
        <w:overflowPunct w:val="0"/>
        <w:topLinePunct w:val="0"/>
        <w:autoSpaceDE/>
        <w:autoSpaceDN/>
        <w:bidi w:val="0"/>
        <w:adjustRightInd/>
        <w:snapToGrid/>
        <w:spacing w:line="360" w:lineRule="auto"/>
        <w:ind w:firstLine="640" w:firstLineChars="200"/>
        <w:jc w:val="both"/>
        <w:textAlignment w:val="auto"/>
        <w:rPr>
          <w:rFonts w:ascii="仿宋_GB2312" w:hAnsi="仿宋_GB2312" w:eastAsia="仿宋_GB2312" w:cs="仿宋_GB2312"/>
          <w:sz w:val="32"/>
          <w:szCs w:val="32"/>
          <w:highlight w:val="none"/>
        </w:rPr>
      </w:pPr>
      <w:r>
        <w:rPr>
          <w:rFonts w:hint="eastAsia" w:eastAsia="仿宋_GB2312" w:cs="仿宋_GB2312"/>
          <w:bCs/>
          <w:sz w:val="32"/>
          <w:szCs w:val="32"/>
          <w:highlight w:val="none"/>
          <w:lang w:eastAsia="zh-CN"/>
        </w:rPr>
        <w:t>忻州经济开发区管理委员会建设环保管理部</w:t>
      </w:r>
      <w:r>
        <w:rPr>
          <w:rFonts w:hint="eastAsia" w:eastAsia="仿宋_GB2312" w:cs="仿宋_GB2312"/>
          <w:bCs/>
          <w:sz w:val="32"/>
          <w:szCs w:val="32"/>
          <w:highlight w:val="none"/>
          <w:lang w:val="en-US" w:eastAsia="zh-CN"/>
        </w:rPr>
        <w:t>为</w:t>
      </w:r>
      <w:r>
        <w:rPr>
          <w:rFonts w:hint="eastAsia" w:eastAsia="仿宋_GB2312"/>
          <w:sz w:val="32"/>
          <w:szCs w:val="32"/>
          <w:highlight w:val="none"/>
          <w:lang w:eastAsia="zh-CN"/>
        </w:rPr>
        <w:t>忻州经济开发区管理委员会</w:t>
      </w:r>
      <w:r>
        <w:rPr>
          <w:rFonts w:hint="eastAsia" w:eastAsia="仿宋_GB2312"/>
          <w:sz w:val="32"/>
          <w:szCs w:val="32"/>
          <w:highlight w:val="none"/>
          <w:lang w:val="en-US" w:eastAsia="zh-CN"/>
        </w:rPr>
        <w:t>内设机构，负责开发区建设项目管理工作。负责基本建设项目计划编制、工程招投标、工程质量安全监督和在建建设工程市场行为监督管理工作。负责公用事业管理工作，推进区内水、电、气、暖、道路等基础设施和绿化、环卫、路灯照明等公用事业的市场化工作。负责建设项目节能、消防设计、人防管理工作。负责生态环境保护工作。负责环保宣传、督察、应急管理、污染事故和生态破坏事件的调查处理。负责组织实施污染物排放控制管理。负责水、气、土壤、噪声、固体废物、光、恶臭、化学品等的污染防治工作。</w:t>
      </w:r>
    </w:p>
    <w:p w14:paraId="3E305B47">
      <w:pPr>
        <w:keepNext w:val="0"/>
        <w:keepLines w:val="0"/>
        <w:pageBreakBefore w:val="0"/>
        <w:widowControl w:val="0"/>
        <w:kinsoku/>
        <w:wordWrap/>
        <w:overflowPunct w:val="0"/>
        <w:topLinePunct w:val="0"/>
        <w:autoSpaceDE/>
        <w:autoSpaceDN/>
        <w:bidi w:val="0"/>
        <w:adjustRightInd/>
        <w:snapToGrid/>
        <w:spacing w:line="360" w:lineRule="auto"/>
        <w:ind w:firstLine="643" w:firstLineChars="200"/>
        <w:jc w:val="both"/>
        <w:textAlignment w:val="auto"/>
        <w:rPr>
          <w:rFonts w:eastAsia="仿宋_GB2312" w:cs="仿宋_GB2312"/>
          <w:bCs/>
          <w:sz w:val="32"/>
          <w:szCs w:val="32"/>
          <w:highlight w:val="none"/>
        </w:rPr>
      </w:pPr>
      <w:r>
        <w:rPr>
          <w:rFonts w:hint="eastAsia" w:eastAsia="仿宋_GB2312" w:cs="仿宋_GB2312"/>
          <w:b/>
          <w:sz w:val="32"/>
          <w:szCs w:val="32"/>
          <w:highlight w:val="none"/>
        </w:rPr>
        <w:t>2</w:t>
      </w:r>
      <w:r>
        <w:rPr>
          <w:rFonts w:hint="eastAsia" w:ascii="仿宋_GB2312" w:hAnsi="仿宋_GB2312" w:eastAsia="仿宋_GB2312" w:cs="仿宋_GB2312"/>
          <w:b/>
          <w:sz w:val="32"/>
          <w:szCs w:val="32"/>
          <w:highlight w:val="none"/>
        </w:rPr>
        <w:t>.人员情况。</w:t>
      </w:r>
      <w:r>
        <w:rPr>
          <w:rFonts w:hint="eastAsia" w:eastAsia="仿宋_GB2312"/>
          <w:color w:val="auto"/>
          <w:sz w:val="32"/>
          <w:szCs w:val="32"/>
          <w:highlight w:val="none"/>
          <w:lang w:eastAsia="zh-CN"/>
        </w:rPr>
        <w:t>忻州经济开发区管理委员会建设环保管理部</w:t>
      </w:r>
      <w:r>
        <w:rPr>
          <w:rFonts w:hint="eastAsia" w:eastAsia="仿宋_GB2312"/>
          <w:color w:val="auto"/>
          <w:sz w:val="32"/>
          <w:szCs w:val="32"/>
          <w:highlight w:val="none"/>
        </w:rPr>
        <w:t>核定编制8名，科级领导职数1正2副。</w:t>
      </w:r>
      <w:r>
        <w:rPr>
          <w:rFonts w:hint="eastAsia" w:eastAsia="仿宋_GB2312"/>
          <w:color w:val="auto"/>
          <w:sz w:val="32"/>
          <w:szCs w:val="32"/>
          <w:highlight w:val="none"/>
          <w:lang w:val="en-US" w:eastAsia="zh-CN"/>
        </w:rPr>
        <w:t>2023年末在职12人。其中4人编制属于</w:t>
      </w:r>
      <w:r>
        <w:rPr>
          <w:rFonts w:hint="eastAsia" w:eastAsia="仿宋_GB2312"/>
          <w:color w:val="auto"/>
          <w:sz w:val="32"/>
          <w:szCs w:val="32"/>
          <w:highlight w:val="none"/>
          <w:lang w:eastAsia="zh-CN"/>
        </w:rPr>
        <w:t>忻州经济开发区管理委员会</w:t>
      </w:r>
      <w:r>
        <w:rPr>
          <w:rFonts w:hint="eastAsia" w:eastAsia="仿宋_GB2312"/>
          <w:color w:val="auto"/>
          <w:sz w:val="32"/>
          <w:szCs w:val="32"/>
          <w:highlight w:val="none"/>
          <w:lang w:val="en-US" w:eastAsia="zh-CN"/>
        </w:rPr>
        <w:t>其他内设机构。</w:t>
      </w:r>
    </w:p>
    <w:p w14:paraId="715C779C">
      <w:pPr>
        <w:pStyle w:val="12"/>
        <w:keepNext w:val="0"/>
        <w:keepLines w:val="0"/>
        <w:pageBreakBefore w:val="0"/>
        <w:widowControl w:val="0"/>
        <w:kinsoku/>
        <w:wordWrap/>
        <w:overflowPunct w:val="0"/>
        <w:topLinePunct w:val="0"/>
        <w:bidi w:val="0"/>
        <w:spacing w:line="360" w:lineRule="auto"/>
        <w:ind w:left="0" w:leftChars="0" w:firstLine="643"/>
        <w:rPr>
          <w:rFonts w:ascii="仿宋_GB2312" w:hAnsi="仿宋_GB2312" w:eastAsia="仿宋_GB2312" w:cs="仿宋_GB2312"/>
          <w:b/>
          <w:sz w:val="32"/>
          <w:szCs w:val="32"/>
          <w:highlight w:val="none"/>
        </w:rPr>
      </w:pPr>
      <w:r>
        <w:rPr>
          <w:rFonts w:hint="default" w:ascii="Times New Roman" w:hAnsi="Times New Roman" w:eastAsia="仿宋_GB2312" w:cs="Times New Roman"/>
          <w:b/>
          <w:bCs/>
          <w:sz w:val="32"/>
          <w:szCs w:val="32"/>
          <w:highlight w:val="none"/>
          <w:lang w:val="en-US" w:eastAsia="zh-CN"/>
        </w:rPr>
        <w:t>3.</w:t>
      </w:r>
      <w:r>
        <w:rPr>
          <w:rFonts w:hint="eastAsia" w:ascii="仿宋_GB2312" w:hAnsi="仿宋_GB2312" w:eastAsia="仿宋_GB2312" w:cs="仿宋_GB2312"/>
          <w:b/>
          <w:bCs/>
          <w:sz w:val="32"/>
          <w:szCs w:val="32"/>
          <w:highlight w:val="none"/>
        </w:rPr>
        <w:t>部门组织架构</w:t>
      </w:r>
    </w:p>
    <w:p w14:paraId="7E2DA41A">
      <w:pPr>
        <w:keepNext w:val="0"/>
        <w:keepLines w:val="0"/>
        <w:pageBreakBefore w:val="0"/>
        <w:widowControl w:val="0"/>
        <w:kinsoku/>
        <w:wordWrap/>
        <w:overflowPunct w:val="0"/>
        <w:topLinePunct w:val="0"/>
        <w:bidi w:val="0"/>
        <w:spacing w:line="360" w:lineRule="auto"/>
        <w:ind w:firstLine="640" w:firstLineChars="200"/>
        <w:jc w:val="both"/>
        <w:rPr>
          <w:rFonts w:hint="eastAsia" w:eastAsia="仿宋_GB2312"/>
          <w:bCs/>
          <w:sz w:val="32"/>
          <w:szCs w:val="32"/>
          <w:highlight w:val="none"/>
        </w:rPr>
      </w:pPr>
      <w:r>
        <w:rPr>
          <w:rFonts w:hint="eastAsia" w:eastAsia="仿宋_GB2312" w:cs="仿宋_GB2312"/>
          <w:bCs/>
          <w:sz w:val="32"/>
          <w:szCs w:val="32"/>
          <w:highlight w:val="none"/>
          <w:lang w:eastAsia="zh-CN"/>
        </w:rPr>
        <w:t>忻州经济开发区管理委员会建设环保管理部</w:t>
      </w:r>
      <w:r>
        <w:rPr>
          <w:rFonts w:hint="eastAsia" w:eastAsia="仿宋_GB2312" w:cs="仿宋_GB2312"/>
          <w:bCs/>
          <w:sz w:val="32"/>
          <w:szCs w:val="32"/>
          <w:highlight w:val="none"/>
          <w:lang w:val="en-US" w:eastAsia="zh-CN"/>
        </w:rPr>
        <w:t>将部门整体职责划分为建设、环保、市政（环卫）、综合事务4项业务分工</w:t>
      </w:r>
      <w:r>
        <w:rPr>
          <w:rFonts w:hint="eastAsia" w:eastAsia="仿宋_GB2312" w:cs="仿宋_GB2312"/>
          <w:bCs/>
          <w:sz w:val="32"/>
          <w:szCs w:val="32"/>
          <w:highlight w:val="none"/>
        </w:rPr>
        <w:t>。</w:t>
      </w:r>
      <w:r>
        <w:rPr>
          <w:rFonts w:hint="eastAsia" w:eastAsia="仿宋_GB2312"/>
          <w:bCs/>
          <w:sz w:val="32"/>
          <w:szCs w:val="32"/>
          <w:highlight w:val="none"/>
          <w:lang w:val="en-US" w:eastAsia="zh-CN"/>
        </w:rPr>
        <w:t>具体各职能分工情况</w:t>
      </w:r>
      <w:r>
        <w:rPr>
          <w:rFonts w:hint="eastAsia" w:eastAsia="仿宋_GB2312"/>
          <w:bCs/>
          <w:sz w:val="32"/>
          <w:szCs w:val="32"/>
          <w:highlight w:val="none"/>
        </w:rPr>
        <w:t>见下表1-1：</w:t>
      </w:r>
    </w:p>
    <w:p w14:paraId="6F73B39A">
      <w:pPr>
        <w:keepNext w:val="0"/>
        <w:keepLines w:val="0"/>
        <w:pageBreakBefore w:val="0"/>
        <w:widowControl w:val="0"/>
        <w:kinsoku/>
        <w:wordWrap/>
        <w:overflowPunct w:val="0"/>
        <w:topLinePunct w:val="0"/>
        <w:autoSpaceDE/>
        <w:autoSpaceDN/>
        <w:bidi w:val="0"/>
        <w:adjustRightInd/>
        <w:snapToGrid/>
        <w:spacing w:line="360" w:lineRule="auto"/>
        <w:jc w:val="center"/>
        <w:textAlignment w:val="auto"/>
        <w:rPr>
          <w:rFonts w:hint="eastAsia" w:ascii="Times New Roman" w:hAnsi="Times New Roman" w:eastAsia="黑体" w:cs="宋体"/>
          <w:b w:val="0"/>
          <w:bCs/>
          <w:sz w:val="28"/>
          <w:szCs w:val="28"/>
          <w:highlight w:val="none"/>
        </w:rPr>
      </w:pPr>
      <w:r>
        <w:rPr>
          <w:rFonts w:hint="eastAsia" w:ascii="Times New Roman" w:hAnsi="Times New Roman" w:eastAsia="黑体" w:cs="宋体"/>
          <w:b w:val="0"/>
          <w:bCs/>
          <w:sz w:val="28"/>
          <w:szCs w:val="28"/>
          <w:highlight w:val="none"/>
        </w:rPr>
        <w:t>表</w:t>
      </w:r>
      <w:r>
        <w:rPr>
          <w:rFonts w:hint="default" w:ascii="Times New Roman" w:hAnsi="Times New Roman" w:eastAsia="黑体" w:cs="Times New Roman"/>
          <w:b w:val="0"/>
          <w:bCs/>
          <w:sz w:val="28"/>
          <w:szCs w:val="28"/>
          <w:highlight w:val="none"/>
        </w:rPr>
        <w:t>1-1</w:t>
      </w:r>
      <w:r>
        <w:rPr>
          <w:rFonts w:hint="eastAsia" w:ascii="Times New Roman" w:hAnsi="Times New Roman" w:eastAsia="黑体" w:cs="宋体"/>
          <w:b w:val="0"/>
          <w:bCs/>
          <w:sz w:val="28"/>
          <w:szCs w:val="28"/>
          <w:highlight w:val="none"/>
        </w:rPr>
        <w:t>：</w:t>
      </w:r>
      <w:r>
        <w:rPr>
          <w:rFonts w:hint="eastAsia" w:eastAsia="黑体" w:cs="宋体"/>
          <w:b w:val="0"/>
          <w:bCs/>
          <w:sz w:val="28"/>
          <w:szCs w:val="28"/>
          <w:highlight w:val="none"/>
          <w:lang w:eastAsia="zh-CN"/>
        </w:rPr>
        <w:t>忻州经济开发区管理委员会建设环保管理部</w:t>
      </w:r>
      <w:r>
        <w:rPr>
          <w:rFonts w:hint="eastAsia" w:eastAsia="黑体" w:cs="宋体"/>
          <w:b w:val="0"/>
          <w:bCs/>
          <w:sz w:val="28"/>
          <w:szCs w:val="28"/>
          <w:highlight w:val="none"/>
          <w:lang w:val="en-US" w:eastAsia="zh-CN"/>
        </w:rPr>
        <w:t>工作划分</w:t>
      </w:r>
      <w:r>
        <w:rPr>
          <w:rFonts w:hint="eastAsia" w:ascii="Times New Roman" w:hAnsi="Times New Roman" w:eastAsia="黑体" w:cs="宋体"/>
          <w:b w:val="0"/>
          <w:bCs/>
          <w:sz w:val="28"/>
          <w:szCs w:val="28"/>
          <w:highlight w:val="none"/>
        </w:rPr>
        <w:t>情况表</w:t>
      </w:r>
    </w:p>
    <w:tbl>
      <w:tblPr>
        <w:tblStyle w:val="1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0"/>
        <w:gridCol w:w="808"/>
        <w:gridCol w:w="4771"/>
        <w:gridCol w:w="2131"/>
      </w:tblGrid>
      <w:tr w14:paraId="15454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blHeader/>
        </w:trPr>
        <w:tc>
          <w:tcPr>
            <w:tcW w:w="475" w:type="pct"/>
            <w:tcBorders>
              <w:top w:val="single" w:color="000000" w:sz="4" w:space="0"/>
              <w:left w:val="single" w:color="000000" w:sz="4" w:space="0"/>
              <w:bottom w:val="single" w:color="000000" w:sz="4" w:space="0"/>
              <w:right w:val="single" w:color="000000" w:sz="4" w:space="0"/>
            </w:tcBorders>
            <w:shd w:val="clear" w:color="auto" w:fill="A4A4A4"/>
            <w:noWrap/>
            <w:vAlign w:val="center"/>
          </w:tcPr>
          <w:p w14:paraId="7512ACC0">
            <w:pPr>
              <w:keepNext w:val="0"/>
              <w:keepLines w:val="0"/>
              <w:pageBreakBefore w:val="0"/>
              <w:widowControl w:val="0"/>
              <w:suppressLineNumbers w:val="0"/>
              <w:kinsoku/>
              <w:wordWrap/>
              <w:topLinePunct w:val="0"/>
              <w:bidi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序号</w:t>
            </w:r>
          </w:p>
        </w:tc>
        <w:tc>
          <w:tcPr>
            <w:tcW w:w="474" w:type="pct"/>
            <w:tcBorders>
              <w:top w:val="single" w:color="000000" w:sz="4" w:space="0"/>
              <w:left w:val="single" w:color="000000" w:sz="4" w:space="0"/>
              <w:bottom w:val="single" w:color="000000" w:sz="4" w:space="0"/>
              <w:right w:val="single" w:color="000000" w:sz="4" w:space="0"/>
            </w:tcBorders>
            <w:shd w:val="clear" w:color="auto" w:fill="A4A4A4"/>
            <w:vAlign w:val="center"/>
          </w:tcPr>
          <w:p w14:paraId="4D27F470">
            <w:pPr>
              <w:keepNext w:val="0"/>
              <w:keepLines w:val="0"/>
              <w:pageBreakBefore w:val="0"/>
              <w:widowControl w:val="0"/>
              <w:suppressLineNumbers w:val="0"/>
              <w:kinsoku/>
              <w:wordWrap/>
              <w:topLinePunct w:val="0"/>
              <w:bidi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职能划分</w:t>
            </w:r>
          </w:p>
        </w:tc>
        <w:tc>
          <w:tcPr>
            <w:tcW w:w="2799" w:type="pct"/>
            <w:tcBorders>
              <w:top w:val="single" w:color="000000" w:sz="4" w:space="0"/>
              <w:left w:val="single" w:color="000000" w:sz="4" w:space="0"/>
              <w:bottom w:val="single" w:color="000000" w:sz="4" w:space="0"/>
              <w:right w:val="single" w:color="000000" w:sz="4" w:space="0"/>
            </w:tcBorders>
            <w:shd w:val="clear" w:color="auto" w:fill="A4A4A4"/>
            <w:vAlign w:val="center"/>
          </w:tcPr>
          <w:p w14:paraId="394DB928">
            <w:pPr>
              <w:keepNext w:val="0"/>
              <w:keepLines w:val="0"/>
              <w:pageBreakBefore w:val="0"/>
              <w:widowControl w:val="0"/>
              <w:suppressLineNumbers w:val="0"/>
              <w:kinsoku/>
              <w:wordWrap/>
              <w:topLinePunct w:val="0"/>
              <w:bidi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主要职能</w:t>
            </w:r>
          </w:p>
        </w:tc>
        <w:tc>
          <w:tcPr>
            <w:tcW w:w="1250" w:type="pct"/>
            <w:tcBorders>
              <w:top w:val="single" w:color="000000" w:sz="4" w:space="0"/>
              <w:left w:val="single" w:color="000000" w:sz="4" w:space="0"/>
              <w:bottom w:val="single" w:color="000000" w:sz="4" w:space="0"/>
              <w:right w:val="single" w:color="000000" w:sz="4" w:space="0"/>
            </w:tcBorders>
            <w:shd w:val="clear" w:color="auto" w:fill="A4A4A4"/>
            <w:vAlign w:val="center"/>
          </w:tcPr>
          <w:p w14:paraId="7AA0C159">
            <w:pPr>
              <w:keepNext w:val="0"/>
              <w:keepLines w:val="0"/>
              <w:pageBreakBefore w:val="0"/>
              <w:widowControl w:val="0"/>
              <w:suppressLineNumbers w:val="0"/>
              <w:kinsoku/>
              <w:wordWrap/>
              <w:topLinePunct w:val="0"/>
              <w:bidi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负责人员</w:t>
            </w:r>
          </w:p>
        </w:tc>
      </w:tr>
      <w:tr w14:paraId="3E64C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6F73E">
            <w:pPr>
              <w:keepNext w:val="0"/>
              <w:keepLines w:val="0"/>
              <w:pageBreakBefore w:val="0"/>
              <w:widowControl w:val="0"/>
              <w:suppressLineNumbers w:val="0"/>
              <w:kinsoku/>
              <w:wordWrap/>
              <w:topLinePunct w:val="0"/>
              <w:bidi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75AC1D">
            <w:pPr>
              <w:keepNext w:val="0"/>
              <w:keepLines w:val="0"/>
              <w:pageBreakBefore w:val="0"/>
              <w:widowControl w:val="0"/>
              <w:suppressLineNumbers w:val="0"/>
              <w:kinsoku/>
              <w:wordWrap/>
              <w:topLinePunct w:val="0"/>
              <w:bidi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建设</w:t>
            </w:r>
          </w:p>
        </w:tc>
        <w:tc>
          <w:tcPr>
            <w:tcW w:w="2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1CDDC2">
            <w:pPr>
              <w:keepNext w:val="0"/>
              <w:keepLines w:val="0"/>
              <w:pageBreakBefore w:val="0"/>
              <w:widowControl w:val="0"/>
              <w:suppressLineNumbers w:val="0"/>
              <w:kinsoku/>
              <w:wordWrap/>
              <w:topLinePunct w:val="0"/>
              <w:bidi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①负责开发区建设项目管理工作。</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②负责基本建设项目计划编制、工程招投标、工程质量安全监督和在建建设工程市场行为监督管理工作。</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AA18DE">
            <w:pPr>
              <w:keepNext w:val="0"/>
              <w:keepLines w:val="0"/>
              <w:pageBreakBefore w:val="0"/>
              <w:widowControl w:val="0"/>
              <w:suppressLineNumbers w:val="0"/>
              <w:kinsoku/>
              <w:wordWrap/>
              <w:topLinePunct w:val="0"/>
              <w:bidi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孙莉、张凝、张如清</w:t>
            </w:r>
          </w:p>
        </w:tc>
      </w:tr>
      <w:tr w14:paraId="2FEB8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11EC8">
            <w:pPr>
              <w:keepNext w:val="0"/>
              <w:keepLines w:val="0"/>
              <w:pageBreakBefore w:val="0"/>
              <w:widowControl w:val="0"/>
              <w:suppressLineNumbers w:val="0"/>
              <w:kinsoku/>
              <w:wordWrap/>
              <w:topLinePunct w:val="0"/>
              <w:bidi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A9471C">
            <w:pPr>
              <w:keepNext w:val="0"/>
              <w:keepLines w:val="0"/>
              <w:pageBreakBefore w:val="0"/>
              <w:widowControl w:val="0"/>
              <w:suppressLineNumbers w:val="0"/>
              <w:kinsoku/>
              <w:wordWrap/>
              <w:topLinePunct w:val="0"/>
              <w:bidi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环保</w:t>
            </w:r>
          </w:p>
        </w:tc>
        <w:tc>
          <w:tcPr>
            <w:tcW w:w="2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8B3647">
            <w:pPr>
              <w:keepNext w:val="0"/>
              <w:keepLines w:val="0"/>
              <w:pageBreakBefore w:val="0"/>
              <w:widowControl w:val="0"/>
              <w:suppressLineNumbers w:val="0"/>
              <w:kinsoku/>
              <w:wordWrap/>
              <w:topLinePunct w:val="0"/>
              <w:bidi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①负责生态环境保护工作。负责环保宣传、督察、应急管理、污染事故和生态破坏事件的调查处理。</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②负责组织实施污染物排放控制管理。</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③负责水、气、土壤、噪声、固体废物、光、恶臭、化学品等的污染防治工作。</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01C6D8">
            <w:pPr>
              <w:keepNext w:val="0"/>
              <w:keepLines w:val="0"/>
              <w:pageBreakBefore w:val="0"/>
              <w:widowControl w:val="0"/>
              <w:suppressLineNumbers w:val="0"/>
              <w:kinsoku/>
              <w:wordWrap/>
              <w:topLinePunct w:val="0"/>
              <w:bidi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马志伟、张建林、阮贺清</w:t>
            </w:r>
          </w:p>
        </w:tc>
      </w:tr>
      <w:tr w14:paraId="41030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0" w:hRule="atLeast"/>
        </w:trPr>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56B2A">
            <w:pPr>
              <w:keepNext w:val="0"/>
              <w:keepLines w:val="0"/>
              <w:pageBreakBefore w:val="0"/>
              <w:widowControl w:val="0"/>
              <w:suppressLineNumbers w:val="0"/>
              <w:kinsoku/>
              <w:wordWrap/>
              <w:topLinePunct w:val="0"/>
              <w:bidi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31D498">
            <w:pPr>
              <w:keepNext w:val="0"/>
              <w:keepLines w:val="0"/>
              <w:pageBreakBefore w:val="0"/>
              <w:widowControl w:val="0"/>
              <w:suppressLineNumbers w:val="0"/>
              <w:kinsoku/>
              <w:wordWrap/>
              <w:topLinePunct w:val="0"/>
              <w:bidi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市政（环卫）</w:t>
            </w:r>
          </w:p>
        </w:tc>
        <w:tc>
          <w:tcPr>
            <w:tcW w:w="2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F6632">
            <w:pPr>
              <w:keepNext w:val="0"/>
              <w:keepLines w:val="0"/>
              <w:pageBreakBefore w:val="0"/>
              <w:widowControl w:val="0"/>
              <w:suppressLineNumbers w:val="0"/>
              <w:kinsoku/>
              <w:wordWrap/>
              <w:topLinePunct w:val="0"/>
              <w:bidi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①负责公用事业管理工作，推进区内水、电、气、暖、道路等基础设施和绿化、环卫、路灯照明等公用事业的市场化工作。</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②负责建设项目节能、消防设计、人防管理工作。</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6B8F13">
            <w:pPr>
              <w:keepNext w:val="0"/>
              <w:keepLines w:val="0"/>
              <w:pageBreakBefore w:val="0"/>
              <w:widowControl w:val="0"/>
              <w:suppressLineNumbers w:val="0"/>
              <w:kinsoku/>
              <w:wordWrap/>
              <w:topLinePunct w:val="0"/>
              <w:bidi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王文虎、张安成、闫卫东、彭斌文、杨世平</w:t>
            </w:r>
          </w:p>
        </w:tc>
      </w:tr>
      <w:tr w14:paraId="48B2E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7573D">
            <w:pPr>
              <w:keepNext w:val="0"/>
              <w:keepLines w:val="0"/>
              <w:pageBreakBefore w:val="0"/>
              <w:widowControl w:val="0"/>
              <w:suppressLineNumbers w:val="0"/>
              <w:kinsoku/>
              <w:wordWrap/>
              <w:topLinePunct w:val="0"/>
              <w:bidi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7C77AE">
            <w:pPr>
              <w:keepNext w:val="0"/>
              <w:keepLines w:val="0"/>
              <w:pageBreakBefore w:val="0"/>
              <w:widowControl w:val="0"/>
              <w:suppressLineNumbers w:val="0"/>
              <w:kinsoku/>
              <w:wordWrap/>
              <w:topLinePunct w:val="0"/>
              <w:bidi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综合事务</w:t>
            </w:r>
          </w:p>
        </w:tc>
        <w:tc>
          <w:tcPr>
            <w:tcW w:w="27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05259">
            <w:pPr>
              <w:keepNext w:val="0"/>
              <w:keepLines w:val="0"/>
              <w:pageBreakBefore w:val="0"/>
              <w:widowControl w:val="0"/>
              <w:suppressLineNumbers w:val="0"/>
              <w:kinsoku/>
              <w:wordWrap/>
              <w:topLinePunct w:val="0"/>
              <w:bidi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负责部门综合事务管理工作</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E311FF">
            <w:pPr>
              <w:keepNext w:val="0"/>
              <w:keepLines w:val="0"/>
              <w:pageBreakBefore w:val="0"/>
              <w:widowControl w:val="0"/>
              <w:suppressLineNumbers w:val="0"/>
              <w:kinsoku/>
              <w:wordWrap/>
              <w:topLinePunct w:val="0"/>
              <w:bidi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张如清、阮贺清、闫卫东、周绿梅</w:t>
            </w:r>
          </w:p>
        </w:tc>
      </w:tr>
    </w:tbl>
    <w:p w14:paraId="4CD75F42">
      <w:pPr>
        <w:keepNext w:val="0"/>
        <w:keepLines w:val="0"/>
        <w:pageBreakBefore w:val="0"/>
        <w:widowControl w:val="0"/>
        <w:kinsoku/>
        <w:wordWrap/>
        <w:overflowPunct w:val="0"/>
        <w:topLinePunct w:val="0"/>
        <w:bidi w:val="0"/>
        <w:spacing w:beforeLines="50" w:line="360" w:lineRule="auto"/>
        <w:ind w:firstLine="643" w:firstLineChars="200"/>
        <w:jc w:val="both"/>
        <w:rPr>
          <w:rFonts w:ascii="仿宋_GB2312" w:hAnsi="仿宋_GB2312" w:eastAsia="仿宋_GB2312" w:cs="仿宋_GB2312"/>
          <w:b/>
          <w:sz w:val="32"/>
          <w:szCs w:val="32"/>
          <w:highlight w:val="none"/>
        </w:rPr>
      </w:pPr>
      <w:r>
        <w:rPr>
          <w:rFonts w:hint="eastAsia" w:eastAsia="仿宋_GB2312" w:cs="仿宋_GB2312"/>
          <w:b/>
          <w:sz w:val="32"/>
          <w:szCs w:val="32"/>
          <w:highlight w:val="none"/>
        </w:rPr>
        <w:t>4</w:t>
      </w:r>
      <w:r>
        <w:rPr>
          <w:rFonts w:hint="eastAsia" w:ascii="仿宋_GB2312" w:hAnsi="仿宋_GB2312" w:eastAsia="仿宋_GB2312" w:cs="仿宋_GB2312"/>
          <w:b/>
          <w:sz w:val="32"/>
          <w:szCs w:val="32"/>
          <w:highlight w:val="none"/>
        </w:rPr>
        <w:t>.资产情况</w:t>
      </w:r>
    </w:p>
    <w:p w14:paraId="13503CE5">
      <w:pPr>
        <w:keepNext w:val="0"/>
        <w:keepLines w:val="0"/>
        <w:pageBreakBefore w:val="0"/>
        <w:widowControl w:val="0"/>
        <w:kinsoku/>
        <w:wordWrap/>
        <w:overflowPunct w:val="0"/>
        <w:topLinePunct w:val="0"/>
        <w:bidi w:val="0"/>
        <w:spacing w:line="360" w:lineRule="auto"/>
        <w:ind w:firstLine="640" w:firstLineChars="2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忻州经济开发区管理委员会建设环保管理部</w:t>
      </w:r>
      <w:r>
        <w:rPr>
          <w:rFonts w:hint="eastAsia" w:ascii="仿宋_GB2312" w:hAnsi="仿宋_GB2312" w:eastAsia="仿宋_GB2312" w:cs="仿宋_GB2312"/>
          <w:sz w:val="32"/>
          <w:szCs w:val="32"/>
          <w:highlight w:val="none"/>
          <w:lang w:val="en-US" w:eastAsia="zh-CN"/>
        </w:rPr>
        <w:t>资产原值1161.89万元，其中：固定资产1159.64万元、无形资产2.25万元。资产净值526.5万元，其中：固定资产526.42万元、无形资产0.08万元。</w:t>
      </w:r>
    </w:p>
    <w:p w14:paraId="5FBA04EF">
      <w:pPr>
        <w:keepNext w:val="0"/>
        <w:keepLines w:val="0"/>
        <w:pageBreakBefore w:val="0"/>
        <w:widowControl w:val="0"/>
        <w:kinsoku/>
        <w:wordWrap/>
        <w:overflowPunct w:val="0"/>
        <w:topLinePunct w:val="0"/>
        <w:bidi w:val="0"/>
        <w:spacing w:line="360" w:lineRule="auto"/>
        <w:ind w:firstLine="640" w:firstLineChars="200"/>
        <w:jc w:val="both"/>
        <w:rPr>
          <w:rFonts w:eastAsia="楷体" w:cs="仿宋_GB2312"/>
          <w:bCs/>
          <w:sz w:val="32"/>
          <w:szCs w:val="32"/>
          <w:highlight w:val="none"/>
          <w:shd w:val="clear" w:color="auto" w:fill="auto"/>
        </w:rPr>
      </w:pPr>
      <w:r>
        <w:rPr>
          <w:rFonts w:hint="eastAsia" w:eastAsia="楷体" w:cs="仿宋_GB2312"/>
          <w:bCs/>
          <w:sz w:val="32"/>
          <w:szCs w:val="32"/>
          <w:highlight w:val="none"/>
          <w:shd w:val="clear" w:color="auto" w:fill="auto"/>
        </w:rPr>
        <w:t>（二）</w:t>
      </w:r>
      <w:r>
        <w:rPr>
          <w:rFonts w:hint="eastAsia" w:ascii="楷体_GB2312" w:hAnsi="Cambria" w:eastAsia="楷体"/>
          <w:bCs/>
          <w:sz w:val="32"/>
          <w:szCs w:val="32"/>
          <w:highlight w:val="none"/>
          <w:shd w:val="clear" w:color="auto" w:fill="auto"/>
        </w:rPr>
        <w:t>部门整体</w:t>
      </w:r>
      <w:r>
        <w:rPr>
          <w:rFonts w:hint="eastAsia" w:ascii="楷体_GB2312" w:hAnsi="Cambria" w:eastAsia="楷体"/>
          <w:bCs/>
          <w:sz w:val="32"/>
          <w:szCs w:val="32"/>
          <w:highlight w:val="none"/>
          <w:shd w:val="clear" w:color="auto" w:fill="auto"/>
          <w:lang w:val="en-US" w:eastAsia="zh-CN"/>
        </w:rPr>
        <w:t>支出</w:t>
      </w:r>
      <w:r>
        <w:rPr>
          <w:rFonts w:hint="eastAsia" w:ascii="楷体_GB2312" w:hAnsi="Cambria" w:eastAsia="楷体"/>
          <w:bCs/>
          <w:sz w:val="32"/>
          <w:szCs w:val="32"/>
          <w:highlight w:val="none"/>
          <w:shd w:val="clear" w:color="auto" w:fill="auto"/>
        </w:rPr>
        <w:t>情况</w:t>
      </w:r>
    </w:p>
    <w:p w14:paraId="391DCBB2">
      <w:pPr>
        <w:keepNext w:val="0"/>
        <w:keepLines w:val="0"/>
        <w:pageBreakBefore w:val="0"/>
        <w:widowControl w:val="0"/>
        <w:kinsoku/>
        <w:wordWrap/>
        <w:overflowPunct w:val="0"/>
        <w:topLinePunct w:val="0"/>
        <w:autoSpaceDE/>
        <w:autoSpaceDN/>
        <w:bidi w:val="0"/>
        <w:adjustRightInd/>
        <w:snapToGrid/>
        <w:spacing w:line="360" w:lineRule="auto"/>
        <w:ind w:firstLine="643" w:firstLineChars="200"/>
        <w:jc w:val="both"/>
        <w:textAlignment w:val="auto"/>
        <w:rPr>
          <w:rFonts w:hint="default" w:eastAsia="仿宋_GB2312" w:cs="仿宋_GB2312"/>
          <w:b/>
          <w:bCs/>
          <w:sz w:val="32"/>
          <w:szCs w:val="32"/>
          <w:highlight w:val="none"/>
          <w:lang w:val="en-US" w:eastAsia="zh-CN"/>
        </w:rPr>
      </w:pPr>
      <w:r>
        <w:rPr>
          <w:rFonts w:hint="eastAsia" w:eastAsia="仿宋_GB2312" w:cs="仿宋_GB2312"/>
          <w:b/>
          <w:bCs/>
          <w:sz w:val="32"/>
          <w:szCs w:val="32"/>
          <w:highlight w:val="none"/>
          <w:lang w:val="en-US" w:eastAsia="zh-CN"/>
        </w:rPr>
        <w:t>1.部门预算情况</w:t>
      </w:r>
    </w:p>
    <w:p w14:paraId="69C3B745">
      <w:pPr>
        <w:keepNext w:val="0"/>
        <w:keepLines w:val="0"/>
        <w:pageBreakBefore w:val="0"/>
        <w:widowControl w:val="0"/>
        <w:kinsoku/>
        <w:wordWrap/>
        <w:overflowPunct w:val="0"/>
        <w:topLinePunct w:val="0"/>
        <w:autoSpaceDE/>
        <w:autoSpaceDN/>
        <w:bidi w:val="0"/>
        <w:adjustRightInd/>
        <w:snapToGrid/>
        <w:spacing w:line="360" w:lineRule="auto"/>
        <w:ind w:firstLine="643" w:firstLineChars="200"/>
        <w:jc w:val="both"/>
        <w:textAlignment w:val="auto"/>
        <w:rPr>
          <w:rFonts w:hint="eastAsia" w:eastAsia="仿宋_GB2312" w:cs="仿宋_GB2312"/>
          <w:sz w:val="32"/>
          <w:szCs w:val="32"/>
          <w:highlight w:val="none"/>
        </w:rPr>
      </w:pPr>
      <w:r>
        <w:rPr>
          <w:rFonts w:hint="eastAsia" w:eastAsia="仿宋_GB2312" w:cs="仿宋_GB2312"/>
          <w:b/>
          <w:bCs/>
          <w:sz w:val="32"/>
          <w:szCs w:val="32"/>
          <w:highlight w:val="none"/>
          <w:lang w:eastAsia="zh-CN"/>
        </w:rPr>
        <w:t>（</w:t>
      </w:r>
      <w:r>
        <w:rPr>
          <w:rFonts w:hint="eastAsia" w:eastAsia="仿宋_GB2312" w:cs="仿宋_GB2312"/>
          <w:b/>
          <w:bCs/>
          <w:sz w:val="32"/>
          <w:szCs w:val="32"/>
          <w:highlight w:val="none"/>
          <w:lang w:val="en-US" w:eastAsia="zh-CN"/>
        </w:rPr>
        <w:t>1</w:t>
      </w:r>
      <w:r>
        <w:rPr>
          <w:rFonts w:hint="eastAsia" w:eastAsia="仿宋_GB2312" w:cs="仿宋_GB2312"/>
          <w:b/>
          <w:bCs/>
          <w:sz w:val="32"/>
          <w:szCs w:val="32"/>
          <w:highlight w:val="none"/>
          <w:lang w:eastAsia="zh-CN"/>
        </w:rPr>
        <w:t>）</w:t>
      </w:r>
      <w:r>
        <w:rPr>
          <w:rFonts w:hint="eastAsia" w:eastAsia="仿宋_GB2312" w:cs="仿宋_GB2312"/>
          <w:b/>
          <w:bCs/>
          <w:sz w:val="32"/>
          <w:szCs w:val="32"/>
          <w:highlight w:val="none"/>
          <w:lang w:val="en-US" w:eastAsia="zh-CN"/>
        </w:rPr>
        <w:t>部门年初预算。</w:t>
      </w:r>
      <w:r>
        <w:rPr>
          <w:rFonts w:hint="eastAsia" w:eastAsia="仿宋_GB2312" w:cs="仿宋_GB2312"/>
          <w:sz w:val="32"/>
          <w:szCs w:val="32"/>
          <w:highlight w:val="none"/>
        </w:rPr>
        <w:t>2023年，</w:t>
      </w:r>
      <w:r>
        <w:rPr>
          <w:rFonts w:hint="eastAsia" w:eastAsia="仿宋_GB2312" w:cs="仿宋_GB2312"/>
          <w:sz w:val="32"/>
          <w:szCs w:val="32"/>
          <w:highlight w:val="none"/>
          <w:lang w:eastAsia="zh-CN"/>
        </w:rPr>
        <w:t>忻州经济开发区管理委员会建设环保管理部</w:t>
      </w:r>
      <w:r>
        <w:rPr>
          <w:rFonts w:hint="eastAsia" w:eastAsia="仿宋_GB2312" w:cs="仿宋_GB2312"/>
          <w:sz w:val="32"/>
          <w:szCs w:val="32"/>
          <w:highlight w:val="none"/>
        </w:rPr>
        <w:t>年初财政拨款预算收入</w:t>
      </w:r>
      <w:r>
        <w:rPr>
          <w:rFonts w:hint="eastAsia" w:eastAsia="仿宋_GB2312" w:cs="仿宋_GB2312"/>
          <w:sz w:val="32"/>
          <w:szCs w:val="32"/>
          <w:highlight w:val="none"/>
          <w:lang w:val="en-US" w:eastAsia="zh-CN"/>
        </w:rPr>
        <w:t>14612.48</w:t>
      </w:r>
      <w:r>
        <w:rPr>
          <w:rFonts w:hint="eastAsia" w:eastAsia="仿宋_GB2312" w:cs="仿宋_GB2312"/>
          <w:sz w:val="32"/>
          <w:szCs w:val="32"/>
          <w:highlight w:val="none"/>
        </w:rPr>
        <w:t>万元，按照收支平衡原则，2023年支出安排</w:t>
      </w:r>
      <w:r>
        <w:rPr>
          <w:rFonts w:hint="eastAsia" w:eastAsia="仿宋_GB2312" w:cs="仿宋_GB2312"/>
          <w:sz w:val="32"/>
          <w:szCs w:val="32"/>
          <w:highlight w:val="none"/>
          <w:lang w:val="en-US" w:eastAsia="zh-CN"/>
        </w:rPr>
        <w:t>14612.48</w:t>
      </w:r>
      <w:r>
        <w:rPr>
          <w:rFonts w:hint="eastAsia" w:eastAsia="仿宋_GB2312" w:cs="仿宋_GB2312"/>
          <w:sz w:val="32"/>
          <w:szCs w:val="32"/>
          <w:highlight w:val="none"/>
        </w:rPr>
        <w:t>万元，其中：基本支出</w:t>
      </w:r>
      <w:r>
        <w:rPr>
          <w:rFonts w:hint="eastAsia" w:eastAsia="仿宋_GB2312" w:cs="仿宋_GB2312"/>
          <w:sz w:val="32"/>
          <w:szCs w:val="32"/>
          <w:highlight w:val="none"/>
          <w:lang w:val="en-US" w:eastAsia="zh-CN"/>
        </w:rPr>
        <w:t>919.22</w:t>
      </w:r>
      <w:r>
        <w:rPr>
          <w:rFonts w:hint="eastAsia" w:eastAsia="仿宋_GB2312" w:cs="仿宋_GB2312"/>
          <w:sz w:val="32"/>
          <w:szCs w:val="32"/>
          <w:highlight w:val="none"/>
        </w:rPr>
        <w:t>万元，项目支出</w:t>
      </w:r>
      <w:r>
        <w:rPr>
          <w:rFonts w:hint="eastAsia" w:eastAsia="仿宋_GB2312" w:cs="仿宋_GB2312"/>
          <w:sz w:val="32"/>
          <w:szCs w:val="32"/>
          <w:highlight w:val="none"/>
          <w:lang w:val="en-US" w:eastAsia="zh-CN"/>
        </w:rPr>
        <w:t>13693.26</w:t>
      </w:r>
      <w:r>
        <w:rPr>
          <w:rFonts w:hint="eastAsia" w:eastAsia="仿宋_GB2312" w:cs="仿宋_GB2312"/>
          <w:sz w:val="32"/>
          <w:szCs w:val="32"/>
          <w:highlight w:val="none"/>
        </w:rPr>
        <w:t>万元。</w:t>
      </w:r>
    </w:p>
    <w:p w14:paraId="726BFF72">
      <w:pPr>
        <w:keepNext w:val="0"/>
        <w:keepLines w:val="0"/>
        <w:pageBreakBefore w:val="0"/>
        <w:widowControl w:val="0"/>
        <w:kinsoku/>
        <w:wordWrap/>
        <w:overflowPunct w:val="0"/>
        <w:topLinePunct w:val="0"/>
        <w:autoSpaceDE/>
        <w:autoSpaceDN/>
        <w:bidi w:val="0"/>
        <w:adjustRightInd/>
        <w:snapToGrid/>
        <w:spacing w:line="360" w:lineRule="auto"/>
        <w:ind w:firstLine="643" w:firstLineChars="200"/>
        <w:jc w:val="both"/>
        <w:textAlignment w:val="auto"/>
        <w:rPr>
          <w:rFonts w:hint="eastAsia" w:eastAsia="仿宋_GB2312" w:cs="仿宋_GB2312"/>
          <w:b/>
          <w:sz w:val="32"/>
          <w:szCs w:val="32"/>
          <w:highlight w:val="none"/>
        </w:rPr>
      </w:pPr>
      <w:r>
        <w:rPr>
          <w:rFonts w:hint="eastAsia" w:ascii="Times New Roman" w:hAnsi="Times New Roman" w:eastAsia="仿宋_GB2312" w:cs="仿宋_GB2312"/>
          <w:b/>
          <w:bCs/>
          <w:sz w:val="32"/>
          <w:szCs w:val="32"/>
          <w:highlight w:val="none"/>
          <w:lang w:eastAsia="zh-CN"/>
        </w:rPr>
        <w:t>（</w:t>
      </w:r>
      <w:r>
        <w:rPr>
          <w:rFonts w:hint="eastAsia" w:ascii="Times New Roman" w:hAnsi="Times New Roman" w:eastAsia="仿宋_GB2312" w:cs="仿宋_GB2312"/>
          <w:b/>
          <w:bCs/>
          <w:sz w:val="32"/>
          <w:szCs w:val="32"/>
          <w:highlight w:val="none"/>
          <w:lang w:val="en-US" w:eastAsia="zh-CN"/>
        </w:rPr>
        <w:t>2</w:t>
      </w:r>
      <w:r>
        <w:rPr>
          <w:rFonts w:hint="eastAsia" w:ascii="Times New Roman" w:hAnsi="Times New Roman" w:eastAsia="仿宋_GB2312" w:cs="仿宋_GB2312"/>
          <w:b/>
          <w:bCs/>
          <w:sz w:val="32"/>
          <w:szCs w:val="32"/>
          <w:highlight w:val="none"/>
          <w:lang w:eastAsia="zh-CN"/>
        </w:rPr>
        <w:t>）</w:t>
      </w:r>
      <w:r>
        <w:rPr>
          <w:rFonts w:hint="eastAsia" w:ascii="仿宋_GB2312" w:hAnsi="仿宋_GB2312" w:eastAsia="仿宋_GB2312" w:cs="仿宋_GB2312"/>
          <w:b/>
          <w:bCs/>
          <w:sz w:val="32"/>
          <w:szCs w:val="32"/>
          <w:highlight w:val="none"/>
        </w:rPr>
        <w:t>预算调整情况</w:t>
      </w:r>
      <w:r>
        <w:rPr>
          <w:rFonts w:hint="eastAsia" w:ascii="仿宋_GB2312" w:hAnsi="仿宋_GB2312" w:eastAsia="仿宋_GB2312" w:cs="仿宋_GB2312"/>
          <w:b/>
          <w:bCs/>
          <w:sz w:val="32"/>
          <w:szCs w:val="32"/>
          <w:highlight w:val="none"/>
          <w:lang w:eastAsia="zh-CN"/>
        </w:rPr>
        <w:t>。</w:t>
      </w:r>
      <w:r>
        <w:rPr>
          <w:rFonts w:hint="eastAsia" w:eastAsia="仿宋_GB2312" w:cs="仿宋_GB2312"/>
          <w:color w:val="auto"/>
          <w:sz w:val="32"/>
          <w:szCs w:val="32"/>
          <w:highlight w:val="none"/>
        </w:rPr>
        <w:t>202</w:t>
      </w:r>
      <w:r>
        <w:rPr>
          <w:rFonts w:hint="eastAsia" w:eastAsia="仿宋_GB2312" w:cs="仿宋_GB2312"/>
          <w:color w:val="auto"/>
          <w:sz w:val="32"/>
          <w:szCs w:val="32"/>
          <w:highlight w:val="none"/>
          <w:lang w:val="en-US" w:eastAsia="zh-CN"/>
        </w:rPr>
        <w:t>3</w:t>
      </w:r>
      <w:r>
        <w:rPr>
          <w:rFonts w:hint="eastAsia" w:eastAsia="仿宋_GB2312" w:cs="仿宋_GB2312"/>
          <w:color w:val="auto"/>
          <w:sz w:val="32"/>
          <w:szCs w:val="32"/>
          <w:highlight w:val="none"/>
        </w:rPr>
        <w:t>年，</w:t>
      </w:r>
      <w:r>
        <w:rPr>
          <w:rFonts w:hint="eastAsia" w:eastAsia="仿宋_GB2312" w:cs="仿宋_GB2312"/>
          <w:color w:val="auto"/>
          <w:sz w:val="32"/>
          <w:szCs w:val="32"/>
          <w:highlight w:val="none"/>
          <w:lang w:eastAsia="zh-CN"/>
        </w:rPr>
        <w:t>忻州经济开发区管理委员会建设环保管理部</w:t>
      </w:r>
      <w:r>
        <w:rPr>
          <w:rFonts w:hint="eastAsia" w:eastAsia="仿宋_GB2312" w:cs="仿宋_GB2312"/>
          <w:color w:val="auto"/>
          <w:sz w:val="32"/>
          <w:szCs w:val="32"/>
          <w:highlight w:val="none"/>
        </w:rPr>
        <w:t>调整后预算收入18069.75</w:t>
      </w:r>
      <w:r>
        <w:rPr>
          <w:rFonts w:hint="eastAsia" w:eastAsia="仿宋_GB2312" w:cs="仿宋_GB2312"/>
          <w:color w:val="auto"/>
          <w:sz w:val="32"/>
          <w:szCs w:val="32"/>
          <w:highlight w:val="none"/>
          <w:lang w:val="en-US" w:eastAsia="zh-CN"/>
        </w:rPr>
        <w:t>万元，较年初调增3457.27万元；调整后预算支出</w:t>
      </w:r>
      <w:r>
        <w:rPr>
          <w:rFonts w:hint="eastAsia" w:eastAsia="仿宋_GB2312" w:cs="仿宋_GB2312"/>
          <w:color w:val="auto"/>
          <w:sz w:val="32"/>
          <w:szCs w:val="32"/>
          <w:highlight w:val="none"/>
        </w:rPr>
        <w:t>18069.75</w:t>
      </w:r>
      <w:r>
        <w:rPr>
          <w:rFonts w:hint="eastAsia" w:eastAsia="仿宋_GB2312" w:cs="仿宋_GB2312"/>
          <w:color w:val="auto"/>
          <w:sz w:val="32"/>
          <w:szCs w:val="32"/>
          <w:highlight w:val="none"/>
          <w:lang w:val="en-US" w:eastAsia="zh-CN"/>
        </w:rPr>
        <w:t>万元，其中：</w:t>
      </w:r>
      <w:r>
        <w:rPr>
          <w:rFonts w:hint="eastAsia" w:eastAsia="仿宋_GB2312" w:cs="仿宋_GB2312"/>
          <w:sz w:val="32"/>
          <w:szCs w:val="32"/>
          <w:highlight w:val="none"/>
        </w:rPr>
        <w:t>基本支出</w:t>
      </w:r>
      <w:r>
        <w:rPr>
          <w:rFonts w:hint="eastAsia" w:eastAsia="仿宋_GB2312" w:cs="仿宋_GB2312"/>
          <w:sz w:val="32"/>
          <w:szCs w:val="32"/>
          <w:highlight w:val="none"/>
          <w:lang w:val="en-US" w:eastAsia="zh-CN"/>
        </w:rPr>
        <w:t>919.22</w:t>
      </w:r>
      <w:r>
        <w:rPr>
          <w:rFonts w:hint="eastAsia" w:eastAsia="仿宋_GB2312" w:cs="仿宋_GB2312"/>
          <w:sz w:val="32"/>
          <w:szCs w:val="32"/>
          <w:highlight w:val="none"/>
        </w:rPr>
        <w:t>万元，</w:t>
      </w:r>
      <w:r>
        <w:rPr>
          <w:rFonts w:hint="eastAsia" w:eastAsia="仿宋_GB2312" w:cs="仿宋_GB2312"/>
          <w:sz w:val="32"/>
          <w:szCs w:val="32"/>
          <w:highlight w:val="none"/>
          <w:lang w:val="en-US" w:eastAsia="zh-CN"/>
        </w:rPr>
        <w:t>较年初预算无调整；项目支出17150.53万元，较年初增3457.27万元</w:t>
      </w:r>
      <w:r>
        <w:rPr>
          <w:rFonts w:hint="eastAsia" w:eastAsia="仿宋_GB2312" w:cs="仿宋_GB2312"/>
          <w:color w:val="auto"/>
          <w:sz w:val="32"/>
          <w:szCs w:val="32"/>
          <w:highlight w:val="none"/>
          <w:lang w:val="en-US" w:eastAsia="zh-CN"/>
        </w:rPr>
        <w:t>（9个项目较年初预算调减594.7万元、7个项目较年初预算调增4051.97万元）。</w:t>
      </w:r>
    </w:p>
    <w:p w14:paraId="7E828062">
      <w:pPr>
        <w:keepNext w:val="0"/>
        <w:keepLines w:val="0"/>
        <w:pageBreakBefore w:val="0"/>
        <w:widowControl w:val="0"/>
        <w:kinsoku/>
        <w:wordWrap/>
        <w:overflowPunct w:val="0"/>
        <w:topLinePunct w:val="0"/>
        <w:autoSpaceDE/>
        <w:autoSpaceDN/>
        <w:bidi w:val="0"/>
        <w:adjustRightInd/>
        <w:snapToGrid/>
        <w:spacing w:line="360" w:lineRule="auto"/>
        <w:ind w:firstLine="643" w:firstLineChars="200"/>
        <w:jc w:val="both"/>
        <w:textAlignment w:val="auto"/>
        <w:rPr>
          <w:rFonts w:hint="eastAsia" w:eastAsia="仿宋_GB2312" w:cs="仿宋_GB2312"/>
          <w:b/>
          <w:sz w:val="32"/>
          <w:szCs w:val="32"/>
          <w:highlight w:val="none"/>
        </w:rPr>
      </w:pPr>
      <w:r>
        <w:rPr>
          <w:rFonts w:hint="eastAsia" w:eastAsia="仿宋_GB2312" w:cs="仿宋_GB2312"/>
          <w:b/>
          <w:bCs/>
          <w:sz w:val="32"/>
          <w:szCs w:val="32"/>
          <w:highlight w:val="none"/>
          <w:lang w:eastAsia="zh-CN"/>
        </w:rPr>
        <w:t>（</w:t>
      </w:r>
      <w:r>
        <w:rPr>
          <w:rFonts w:hint="eastAsia" w:eastAsia="仿宋_GB2312" w:cs="仿宋_GB2312"/>
          <w:b/>
          <w:bCs/>
          <w:sz w:val="32"/>
          <w:szCs w:val="32"/>
          <w:highlight w:val="none"/>
          <w:lang w:val="en-US" w:eastAsia="zh-CN"/>
        </w:rPr>
        <w:t>3</w:t>
      </w:r>
      <w:r>
        <w:rPr>
          <w:rFonts w:hint="eastAsia" w:eastAsia="仿宋_GB2312" w:cs="仿宋_GB2312"/>
          <w:b/>
          <w:bCs/>
          <w:sz w:val="32"/>
          <w:szCs w:val="32"/>
          <w:highlight w:val="none"/>
          <w:lang w:eastAsia="zh-CN"/>
        </w:rPr>
        <w:t>）</w:t>
      </w:r>
      <w:r>
        <w:rPr>
          <w:rFonts w:hint="eastAsia" w:ascii="仿宋_GB2312" w:hAnsi="仿宋_GB2312" w:eastAsia="仿宋_GB2312" w:cs="仿宋_GB2312"/>
          <w:b/>
          <w:bCs/>
          <w:sz w:val="32"/>
          <w:szCs w:val="32"/>
          <w:highlight w:val="none"/>
        </w:rPr>
        <w:t>年末决算情况</w:t>
      </w:r>
      <w:r>
        <w:rPr>
          <w:rFonts w:hint="eastAsia" w:ascii="仿宋_GB2312" w:hAnsi="仿宋_GB2312" w:eastAsia="仿宋_GB2312" w:cs="仿宋_GB2312"/>
          <w:sz w:val="32"/>
          <w:szCs w:val="32"/>
          <w:highlight w:val="none"/>
        </w:rPr>
        <w:t>。</w:t>
      </w:r>
      <w:r>
        <w:rPr>
          <w:rFonts w:hint="eastAsia" w:eastAsia="仿宋_GB2312" w:cs="仿宋_GB2312"/>
          <w:sz w:val="32"/>
          <w:szCs w:val="32"/>
          <w:highlight w:val="none"/>
        </w:rPr>
        <w:t>截止202</w:t>
      </w:r>
      <w:r>
        <w:rPr>
          <w:rFonts w:hint="eastAsia" w:eastAsia="仿宋_GB2312" w:cs="仿宋_GB2312"/>
          <w:sz w:val="32"/>
          <w:szCs w:val="32"/>
          <w:highlight w:val="none"/>
          <w:lang w:val="en-US" w:eastAsia="zh-CN"/>
        </w:rPr>
        <w:t>3</w:t>
      </w:r>
      <w:r>
        <w:rPr>
          <w:rFonts w:hint="eastAsia" w:eastAsia="仿宋_GB2312" w:cs="仿宋_GB2312"/>
          <w:sz w:val="32"/>
          <w:szCs w:val="32"/>
          <w:highlight w:val="none"/>
        </w:rPr>
        <w:t>年末，</w:t>
      </w:r>
      <w:r>
        <w:rPr>
          <w:rFonts w:hint="eastAsia" w:eastAsia="仿宋_GB2312" w:cs="仿宋_GB2312"/>
          <w:sz w:val="32"/>
          <w:szCs w:val="32"/>
          <w:highlight w:val="none"/>
          <w:lang w:eastAsia="zh-CN"/>
        </w:rPr>
        <w:t>忻州经济开发区管理委员会建设环保管理部</w:t>
      </w:r>
      <w:r>
        <w:rPr>
          <w:rFonts w:hint="eastAsia" w:eastAsia="仿宋_GB2312" w:cs="仿宋_GB2312"/>
          <w:sz w:val="32"/>
          <w:szCs w:val="32"/>
          <w:highlight w:val="none"/>
        </w:rPr>
        <w:t>决算收入</w:t>
      </w:r>
      <w:r>
        <w:rPr>
          <w:rFonts w:hint="eastAsia" w:eastAsia="仿宋_GB2312" w:cs="仿宋_GB2312"/>
          <w:color w:val="auto"/>
          <w:sz w:val="32"/>
          <w:szCs w:val="32"/>
          <w:highlight w:val="none"/>
        </w:rPr>
        <w:t>18069.75</w:t>
      </w:r>
      <w:r>
        <w:rPr>
          <w:rFonts w:hint="eastAsia" w:eastAsia="仿宋_GB2312" w:cs="仿宋_GB2312"/>
          <w:sz w:val="32"/>
          <w:szCs w:val="32"/>
          <w:highlight w:val="none"/>
        </w:rPr>
        <w:t>万元，其中：一般公共预算财政拨款收入</w:t>
      </w:r>
      <w:r>
        <w:rPr>
          <w:rFonts w:hint="eastAsia" w:eastAsia="仿宋_GB2312" w:cs="仿宋_GB2312"/>
          <w:color w:val="auto"/>
          <w:sz w:val="32"/>
          <w:szCs w:val="32"/>
          <w:highlight w:val="none"/>
        </w:rPr>
        <w:t>18069.75</w:t>
      </w:r>
      <w:r>
        <w:rPr>
          <w:rFonts w:hint="eastAsia" w:eastAsia="仿宋_GB2312" w:cs="仿宋_GB2312"/>
          <w:sz w:val="32"/>
          <w:szCs w:val="32"/>
          <w:highlight w:val="none"/>
        </w:rPr>
        <w:t>万元</w:t>
      </w:r>
      <w:r>
        <w:rPr>
          <w:rFonts w:hint="eastAsia" w:eastAsia="仿宋_GB2312" w:cs="仿宋_GB2312"/>
          <w:color w:val="000000"/>
          <w:sz w:val="32"/>
          <w:szCs w:val="32"/>
          <w:highlight w:val="none"/>
        </w:rPr>
        <w:t>；决算</w:t>
      </w:r>
      <w:r>
        <w:rPr>
          <w:rFonts w:hint="eastAsia" w:ascii="Times New Roman" w:hAnsi="Times New Roman" w:eastAsia="仿宋_GB2312" w:cs="仿宋_GB2312"/>
          <w:color w:val="auto"/>
          <w:sz w:val="32"/>
          <w:szCs w:val="32"/>
          <w:highlight w:val="none"/>
        </w:rPr>
        <w:t>支出</w:t>
      </w:r>
      <w:r>
        <w:rPr>
          <w:rFonts w:hint="eastAsia" w:ascii="Times New Roman" w:hAnsi="Times New Roman" w:eastAsia="仿宋_GB2312" w:cs="仿宋_GB2312"/>
          <w:color w:val="auto"/>
          <w:sz w:val="32"/>
          <w:szCs w:val="32"/>
          <w:highlight w:val="none"/>
          <w:lang w:val="en-US" w:eastAsia="zh-CN"/>
        </w:rPr>
        <w:t>9870.03</w:t>
      </w:r>
      <w:r>
        <w:rPr>
          <w:rFonts w:hint="eastAsia" w:ascii="Times New Roman" w:hAnsi="Times New Roman" w:eastAsia="仿宋_GB2312" w:cs="仿宋_GB2312"/>
          <w:color w:val="auto"/>
          <w:sz w:val="32"/>
          <w:szCs w:val="32"/>
          <w:highlight w:val="none"/>
        </w:rPr>
        <w:t>万元</w:t>
      </w:r>
      <w:r>
        <w:rPr>
          <w:rFonts w:hint="eastAsia" w:eastAsia="仿宋_GB2312" w:cs="仿宋_GB2312"/>
          <w:color w:val="000000"/>
          <w:sz w:val="32"/>
          <w:szCs w:val="32"/>
          <w:highlight w:val="none"/>
        </w:rPr>
        <w:t>，其中：基本支出</w:t>
      </w:r>
      <w:r>
        <w:rPr>
          <w:rFonts w:hint="eastAsia" w:eastAsia="仿宋_GB2312" w:cs="仿宋_GB2312"/>
          <w:sz w:val="32"/>
          <w:szCs w:val="32"/>
          <w:highlight w:val="none"/>
          <w:lang w:val="en-US" w:eastAsia="zh-CN"/>
        </w:rPr>
        <w:t>608.07</w:t>
      </w:r>
      <w:r>
        <w:rPr>
          <w:rFonts w:hint="eastAsia" w:eastAsia="仿宋_GB2312" w:cs="仿宋_GB2312"/>
          <w:color w:val="000000"/>
          <w:sz w:val="32"/>
          <w:szCs w:val="32"/>
          <w:highlight w:val="none"/>
        </w:rPr>
        <w:t>万元，项目支出</w:t>
      </w:r>
      <w:r>
        <w:rPr>
          <w:rFonts w:hint="eastAsia" w:eastAsia="仿宋_GB2312" w:cs="仿宋_GB2312"/>
          <w:sz w:val="32"/>
          <w:szCs w:val="32"/>
          <w:highlight w:val="none"/>
          <w:lang w:val="en-US" w:eastAsia="zh-CN"/>
        </w:rPr>
        <w:t>9261.96</w:t>
      </w:r>
      <w:r>
        <w:rPr>
          <w:rFonts w:hint="eastAsia" w:eastAsia="仿宋_GB2312" w:cs="仿宋_GB2312"/>
          <w:color w:val="000000"/>
          <w:sz w:val="32"/>
          <w:szCs w:val="32"/>
          <w:highlight w:val="none"/>
        </w:rPr>
        <w:t>万元。</w:t>
      </w:r>
    </w:p>
    <w:p w14:paraId="475600DA">
      <w:pPr>
        <w:keepNext w:val="0"/>
        <w:keepLines w:val="0"/>
        <w:pageBreakBefore w:val="0"/>
        <w:widowControl w:val="0"/>
        <w:kinsoku/>
        <w:wordWrap/>
        <w:overflowPunct w:val="0"/>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仿宋_GB2312"/>
          <w:bCs/>
          <w:sz w:val="32"/>
          <w:szCs w:val="32"/>
          <w:highlight w:val="none"/>
        </w:rPr>
      </w:pPr>
      <w:r>
        <w:rPr>
          <w:rFonts w:hint="eastAsia" w:ascii="仿宋_GB2312" w:hAnsi="仿宋_GB2312" w:eastAsia="仿宋_GB2312" w:cs="仿宋_GB2312"/>
          <w:b/>
          <w:sz w:val="32"/>
          <w:szCs w:val="32"/>
          <w:highlight w:val="none"/>
          <w:lang w:val="en-US" w:eastAsia="zh-CN"/>
        </w:rPr>
        <w:t>2</w:t>
      </w:r>
      <w:r>
        <w:rPr>
          <w:rFonts w:hint="eastAsia" w:ascii="仿宋_GB2312" w:hAnsi="仿宋_GB2312" w:eastAsia="仿宋_GB2312" w:cs="仿宋_GB2312"/>
          <w:b/>
          <w:sz w:val="32"/>
          <w:szCs w:val="32"/>
          <w:highlight w:val="none"/>
        </w:rPr>
        <w:t>.</w:t>
      </w:r>
      <w:r>
        <w:rPr>
          <w:rFonts w:hint="eastAsia" w:ascii="仿宋_GB2312" w:hAnsi="仿宋_GB2312" w:eastAsia="仿宋_GB2312" w:cs="仿宋_GB2312"/>
          <w:b/>
          <w:bCs/>
          <w:color w:val="000000"/>
          <w:sz w:val="32"/>
          <w:szCs w:val="32"/>
          <w:highlight w:val="none"/>
        </w:rPr>
        <w:t>部门整体支出</w:t>
      </w:r>
      <w:r>
        <w:rPr>
          <w:rFonts w:hint="eastAsia" w:ascii="仿宋_GB2312" w:hAnsi="仿宋_GB2312" w:eastAsia="仿宋_GB2312" w:cs="仿宋_GB2312"/>
          <w:b/>
          <w:sz w:val="32"/>
          <w:szCs w:val="32"/>
          <w:highlight w:val="none"/>
        </w:rPr>
        <w:t>。</w:t>
      </w:r>
      <w:r>
        <w:rPr>
          <w:rFonts w:hint="eastAsia" w:eastAsia="仿宋_GB2312" w:cs="仿宋_GB2312"/>
          <w:bCs/>
          <w:color w:val="000000"/>
          <w:sz w:val="32"/>
          <w:szCs w:val="32"/>
          <w:highlight w:val="none"/>
        </w:rPr>
        <w:t>截止202</w:t>
      </w:r>
      <w:r>
        <w:rPr>
          <w:rFonts w:hint="eastAsia" w:eastAsia="仿宋_GB2312" w:cs="仿宋_GB2312"/>
          <w:bCs/>
          <w:color w:val="000000"/>
          <w:sz w:val="32"/>
          <w:szCs w:val="32"/>
          <w:highlight w:val="none"/>
          <w:lang w:val="en-US" w:eastAsia="zh-CN"/>
        </w:rPr>
        <w:t>3</w:t>
      </w:r>
      <w:r>
        <w:rPr>
          <w:rFonts w:hint="eastAsia" w:eastAsia="仿宋_GB2312" w:cs="仿宋_GB2312"/>
          <w:bCs/>
          <w:color w:val="000000"/>
          <w:sz w:val="32"/>
          <w:szCs w:val="32"/>
          <w:highlight w:val="none"/>
        </w:rPr>
        <w:t>年末，</w:t>
      </w:r>
      <w:r>
        <w:rPr>
          <w:rFonts w:hint="eastAsia" w:eastAsia="仿宋_GB2312" w:cs="仿宋_GB2312"/>
          <w:sz w:val="32"/>
          <w:szCs w:val="32"/>
          <w:highlight w:val="none"/>
          <w:lang w:eastAsia="zh-CN"/>
        </w:rPr>
        <w:t>忻州经济开发区管理委员会建设环保管理部</w:t>
      </w:r>
      <w:r>
        <w:rPr>
          <w:rFonts w:hint="eastAsia" w:eastAsia="仿宋_GB2312" w:cs="仿宋_GB2312"/>
          <w:bCs/>
          <w:color w:val="000000"/>
          <w:sz w:val="32"/>
          <w:szCs w:val="32"/>
          <w:highlight w:val="none"/>
        </w:rPr>
        <w:t>部门整体支</w:t>
      </w:r>
      <w:r>
        <w:rPr>
          <w:rFonts w:hint="eastAsia" w:eastAsia="仿宋_GB2312" w:cs="仿宋_GB2312"/>
          <w:bCs/>
          <w:sz w:val="32"/>
          <w:szCs w:val="32"/>
          <w:highlight w:val="none"/>
        </w:rPr>
        <w:t>出</w:t>
      </w:r>
      <w:r>
        <w:rPr>
          <w:rFonts w:hint="eastAsia" w:eastAsia="仿宋_GB2312" w:cs="仿宋_GB2312"/>
          <w:sz w:val="32"/>
          <w:szCs w:val="32"/>
          <w:highlight w:val="none"/>
          <w:lang w:val="en-US" w:eastAsia="zh-CN"/>
        </w:rPr>
        <w:t>9870.03</w:t>
      </w:r>
      <w:r>
        <w:rPr>
          <w:rFonts w:hint="eastAsia" w:eastAsia="仿宋_GB2312" w:cs="仿宋_GB2312"/>
          <w:sz w:val="32"/>
          <w:szCs w:val="32"/>
          <w:highlight w:val="none"/>
        </w:rPr>
        <w:t>万元</w:t>
      </w:r>
      <w:r>
        <w:rPr>
          <w:rFonts w:hint="eastAsia" w:eastAsia="仿宋_GB2312"/>
          <w:sz w:val="32"/>
          <w:szCs w:val="32"/>
          <w:highlight w:val="none"/>
        </w:rPr>
        <w:t>，</w:t>
      </w:r>
      <w:r>
        <w:rPr>
          <w:rFonts w:hint="eastAsia" w:eastAsia="仿宋_GB2312"/>
          <w:color w:val="000000"/>
          <w:sz w:val="32"/>
          <w:szCs w:val="32"/>
          <w:highlight w:val="none"/>
        </w:rPr>
        <w:t>其中：</w:t>
      </w:r>
      <w:r>
        <w:rPr>
          <w:rFonts w:hint="eastAsia" w:eastAsia="仿宋_GB2312" w:cs="仿宋_GB2312"/>
          <w:sz w:val="32"/>
          <w:szCs w:val="32"/>
          <w:highlight w:val="none"/>
        </w:rPr>
        <w:t>基本支出</w:t>
      </w:r>
      <w:r>
        <w:rPr>
          <w:rFonts w:hint="eastAsia" w:eastAsia="仿宋_GB2312" w:cs="仿宋_GB2312"/>
          <w:sz w:val="32"/>
          <w:szCs w:val="32"/>
          <w:highlight w:val="none"/>
          <w:lang w:val="en-US" w:eastAsia="zh-CN"/>
        </w:rPr>
        <w:t>608.07</w:t>
      </w:r>
      <w:r>
        <w:rPr>
          <w:rFonts w:hint="eastAsia" w:eastAsia="仿宋_GB2312" w:cs="仿宋_GB2312"/>
          <w:sz w:val="32"/>
          <w:szCs w:val="32"/>
          <w:highlight w:val="none"/>
        </w:rPr>
        <w:t>万元，占</w:t>
      </w:r>
      <w:r>
        <w:rPr>
          <w:rFonts w:hint="eastAsia" w:eastAsia="仿宋_GB2312" w:cs="仿宋_GB2312"/>
          <w:sz w:val="32"/>
          <w:szCs w:val="32"/>
          <w:highlight w:val="none"/>
          <w:lang w:val="en-US" w:eastAsia="zh-CN"/>
        </w:rPr>
        <w:t>6.16</w:t>
      </w:r>
      <w:r>
        <w:rPr>
          <w:rFonts w:hint="eastAsia" w:eastAsia="仿宋_GB2312" w:cs="仿宋_GB2312"/>
          <w:sz w:val="32"/>
          <w:szCs w:val="32"/>
          <w:highlight w:val="none"/>
        </w:rPr>
        <w:t>%；项目支出9261.96万元，占</w:t>
      </w:r>
      <w:r>
        <w:rPr>
          <w:rFonts w:hint="eastAsia" w:eastAsia="仿宋_GB2312" w:cs="仿宋_GB2312"/>
          <w:sz w:val="32"/>
          <w:szCs w:val="32"/>
          <w:highlight w:val="none"/>
          <w:lang w:val="en-US" w:eastAsia="zh-CN"/>
        </w:rPr>
        <w:t>93.84</w:t>
      </w:r>
      <w:r>
        <w:rPr>
          <w:rFonts w:hint="eastAsia" w:eastAsia="仿宋_GB2312" w:cs="仿宋_GB2312"/>
          <w:sz w:val="32"/>
          <w:szCs w:val="32"/>
          <w:highlight w:val="none"/>
        </w:rPr>
        <w:t>%</w:t>
      </w:r>
      <w:r>
        <w:rPr>
          <w:rFonts w:hint="eastAsia" w:eastAsia="仿宋_GB2312"/>
          <w:color w:val="000000"/>
          <w:sz w:val="32"/>
          <w:szCs w:val="32"/>
          <w:highlight w:val="none"/>
        </w:rPr>
        <w:t>。</w:t>
      </w:r>
    </w:p>
    <w:p w14:paraId="4540B4BE">
      <w:pPr>
        <w:keepNext w:val="0"/>
        <w:keepLines w:val="0"/>
        <w:pageBreakBefore w:val="0"/>
        <w:widowControl w:val="0"/>
        <w:kinsoku/>
        <w:wordWrap/>
        <w:overflowPunct w:val="0"/>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仿宋_GB2312"/>
          <w:bCs/>
          <w:sz w:val="32"/>
          <w:szCs w:val="32"/>
          <w:highlight w:val="none"/>
        </w:rPr>
      </w:pPr>
      <w:r>
        <w:rPr>
          <w:rFonts w:hint="eastAsia" w:eastAsia="仿宋_GB2312" w:cs="仿宋_GB2312"/>
          <w:bCs/>
          <w:color w:val="000000"/>
          <w:sz w:val="32"/>
          <w:szCs w:val="32"/>
          <w:highlight w:val="none"/>
        </w:rPr>
        <w:t>（1）基本支出截止202</w:t>
      </w:r>
      <w:r>
        <w:rPr>
          <w:rFonts w:hint="eastAsia" w:eastAsia="仿宋_GB2312" w:cs="仿宋_GB2312"/>
          <w:bCs/>
          <w:color w:val="000000"/>
          <w:sz w:val="32"/>
          <w:szCs w:val="32"/>
          <w:highlight w:val="none"/>
          <w:lang w:val="en-US" w:eastAsia="zh-CN"/>
        </w:rPr>
        <w:t>3</w:t>
      </w:r>
      <w:r>
        <w:rPr>
          <w:rFonts w:hint="eastAsia" w:eastAsia="仿宋_GB2312" w:cs="仿宋_GB2312"/>
          <w:bCs/>
          <w:color w:val="000000"/>
          <w:sz w:val="32"/>
          <w:szCs w:val="32"/>
          <w:highlight w:val="none"/>
        </w:rPr>
        <w:t>年末，</w:t>
      </w:r>
      <w:r>
        <w:rPr>
          <w:rFonts w:hint="eastAsia" w:eastAsia="仿宋_GB2312" w:cs="仿宋_GB2312"/>
          <w:sz w:val="32"/>
          <w:szCs w:val="32"/>
          <w:highlight w:val="none"/>
          <w:lang w:eastAsia="zh-CN"/>
        </w:rPr>
        <w:t>忻州经济开发区管理委员会建设环保管理部</w:t>
      </w:r>
      <w:r>
        <w:rPr>
          <w:rFonts w:hint="eastAsia" w:eastAsia="仿宋_GB2312" w:cs="仿宋_GB2312"/>
          <w:sz w:val="32"/>
          <w:szCs w:val="32"/>
          <w:highlight w:val="none"/>
          <w:lang w:val="en-US" w:eastAsia="zh-CN"/>
        </w:rPr>
        <w:t>基本支出608.07万元。其中：人员经费支出23.31万元、占基本支出的3.83%；公用经费支出584.76，占基本支出的96.17%。</w:t>
      </w:r>
    </w:p>
    <w:p w14:paraId="3091F327">
      <w:pPr>
        <w:keepNext w:val="0"/>
        <w:keepLines w:val="0"/>
        <w:pageBreakBefore w:val="0"/>
        <w:widowControl w:val="0"/>
        <w:kinsoku/>
        <w:wordWrap/>
        <w:overflowPunct w:val="0"/>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仿宋_GB2312"/>
          <w:bCs/>
          <w:sz w:val="32"/>
          <w:szCs w:val="32"/>
          <w:highlight w:val="none"/>
        </w:rPr>
      </w:pPr>
      <w:r>
        <w:rPr>
          <w:rFonts w:hint="eastAsia" w:ascii="Times New Roman" w:hAnsi="Times New Roman" w:eastAsia="仿宋_GB2312" w:cs="仿宋_GB2312"/>
          <w:bCs/>
          <w:color w:val="000000"/>
          <w:sz w:val="32"/>
          <w:szCs w:val="32"/>
          <w:highlight w:val="none"/>
        </w:rPr>
        <w:t>（2）项目支出。202</w:t>
      </w:r>
      <w:r>
        <w:rPr>
          <w:rFonts w:hint="eastAsia" w:eastAsia="仿宋_GB2312" w:cs="仿宋_GB2312"/>
          <w:bCs/>
          <w:color w:val="000000"/>
          <w:sz w:val="32"/>
          <w:szCs w:val="32"/>
          <w:highlight w:val="none"/>
          <w:lang w:val="en-US" w:eastAsia="zh-CN"/>
        </w:rPr>
        <w:t>3</w:t>
      </w:r>
      <w:r>
        <w:rPr>
          <w:rFonts w:hint="eastAsia" w:ascii="Times New Roman" w:hAnsi="Times New Roman" w:eastAsia="仿宋_GB2312" w:cs="仿宋_GB2312"/>
          <w:bCs/>
          <w:color w:val="000000"/>
          <w:sz w:val="32"/>
          <w:szCs w:val="32"/>
          <w:highlight w:val="none"/>
        </w:rPr>
        <w:t>年度，</w:t>
      </w:r>
      <w:r>
        <w:rPr>
          <w:rFonts w:hint="eastAsia" w:eastAsia="仿宋_GB2312" w:cs="仿宋_GB2312"/>
          <w:bCs/>
          <w:color w:val="000000"/>
          <w:sz w:val="32"/>
          <w:szCs w:val="32"/>
          <w:highlight w:val="none"/>
          <w:lang w:eastAsia="zh-CN"/>
        </w:rPr>
        <w:t>忻州经济开发区管理委员会建设环保管理部</w:t>
      </w:r>
      <w:r>
        <w:rPr>
          <w:rFonts w:hint="eastAsia" w:ascii="Times New Roman" w:hAnsi="Times New Roman" w:eastAsia="仿宋_GB2312" w:cs="仿宋_GB2312"/>
          <w:bCs/>
          <w:color w:val="000000"/>
          <w:sz w:val="32"/>
          <w:szCs w:val="32"/>
          <w:highlight w:val="none"/>
        </w:rPr>
        <w:t>部门整体项目支出年初预算13693.26万元，</w:t>
      </w:r>
      <w:r>
        <w:rPr>
          <w:rFonts w:hint="eastAsia" w:eastAsia="仿宋_GB2312" w:cs="仿宋_GB2312"/>
          <w:bCs/>
          <w:color w:val="000000"/>
          <w:sz w:val="32"/>
          <w:szCs w:val="32"/>
          <w:highlight w:val="none"/>
          <w:lang w:val="en-US" w:eastAsia="zh-CN"/>
        </w:rPr>
        <w:t>涉及65</w:t>
      </w:r>
      <w:r>
        <w:rPr>
          <w:rFonts w:hint="eastAsia" w:ascii="Times New Roman" w:hAnsi="Times New Roman" w:eastAsia="仿宋_GB2312" w:cs="仿宋_GB2312"/>
          <w:bCs/>
          <w:color w:val="000000"/>
          <w:sz w:val="32"/>
          <w:szCs w:val="32"/>
          <w:highlight w:val="none"/>
        </w:rPr>
        <w:t>个项目</w:t>
      </w:r>
      <w:r>
        <w:rPr>
          <w:rFonts w:hint="eastAsia" w:ascii="Times New Roman" w:hAnsi="Times New Roman" w:eastAsia="仿宋_GB2312" w:cs="仿宋_GB2312"/>
          <w:bCs/>
          <w:color w:val="000000"/>
          <w:sz w:val="32"/>
          <w:szCs w:val="32"/>
          <w:highlight w:val="none"/>
          <w:lang w:eastAsia="zh-CN"/>
        </w:rPr>
        <w:t>（</w:t>
      </w:r>
      <w:r>
        <w:rPr>
          <w:rFonts w:hint="eastAsia" w:ascii="Times New Roman" w:hAnsi="Times New Roman" w:eastAsia="仿宋_GB2312" w:cs="仿宋_GB2312"/>
          <w:bCs/>
          <w:color w:val="000000"/>
          <w:sz w:val="32"/>
          <w:szCs w:val="32"/>
          <w:highlight w:val="none"/>
          <w:lang w:val="en-US" w:eastAsia="zh-CN"/>
        </w:rPr>
        <w:t>其中：重点项目29个，涉及资金9385.55万元，重点支出安排率68.54%）</w:t>
      </w:r>
      <w:r>
        <w:rPr>
          <w:rFonts w:hint="eastAsia" w:ascii="Times New Roman" w:hAnsi="Times New Roman" w:eastAsia="仿宋_GB2312" w:cs="仿宋_GB2312"/>
          <w:bCs/>
          <w:color w:val="000000"/>
          <w:sz w:val="32"/>
          <w:szCs w:val="32"/>
          <w:highlight w:val="none"/>
        </w:rPr>
        <w:t>；调整后预算17148.56万元，涉及</w:t>
      </w:r>
      <w:r>
        <w:rPr>
          <w:rFonts w:hint="eastAsia" w:eastAsia="仿宋_GB2312" w:cs="仿宋_GB2312"/>
          <w:bCs/>
          <w:color w:val="000000"/>
          <w:sz w:val="32"/>
          <w:szCs w:val="32"/>
          <w:highlight w:val="none"/>
          <w:lang w:val="en-US" w:eastAsia="zh-CN"/>
        </w:rPr>
        <w:t>59</w:t>
      </w:r>
      <w:r>
        <w:rPr>
          <w:rFonts w:hint="eastAsia" w:ascii="Times New Roman" w:hAnsi="Times New Roman" w:eastAsia="仿宋_GB2312" w:cs="仿宋_GB2312"/>
          <w:bCs/>
          <w:color w:val="000000"/>
          <w:sz w:val="32"/>
          <w:szCs w:val="32"/>
          <w:highlight w:val="none"/>
        </w:rPr>
        <w:t>个项目</w:t>
      </w:r>
      <w:r>
        <w:rPr>
          <w:rFonts w:hint="eastAsia" w:eastAsia="仿宋_GB2312" w:cs="仿宋_GB2312"/>
          <w:bCs/>
          <w:color w:val="000000"/>
          <w:sz w:val="32"/>
          <w:szCs w:val="32"/>
          <w:highlight w:val="none"/>
          <w:lang w:eastAsia="zh-CN"/>
        </w:rPr>
        <w:t>（</w:t>
      </w:r>
      <w:r>
        <w:rPr>
          <w:rFonts w:hint="eastAsia" w:eastAsia="仿宋_GB2312" w:cs="仿宋_GB2312"/>
          <w:bCs/>
          <w:color w:val="000000"/>
          <w:sz w:val="32"/>
          <w:szCs w:val="32"/>
          <w:highlight w:val="none"/>
          <w:lang w:val="en-US" w:eastAsia="zh-CN"/>
        </w:rPr>
        <w:t>调减7个项目、调增1个项目）</w:t>
      </w:r>
      <w:r>
        <w:rPr>
          <w:rFonts w:hint="eastAsia" w:ascii="Times New Roman" w:hAnsi="Times New Roman" w:eastAsia="仿宋_GB2312" w:cs="仿宋_GB2312"/>
          <w:bCs/>
          <w:color w:val="000000"/>
          <w:sz w:val="32"/>
          <w:szCs w:val="32"/>
          <w:highlight w:val="none"/>
        </w:rPr>
        <w:t>；决算涉及</w:t>
      </w:r>
      <w:r>
        <w:rPr>
          <w:rFonts w:hint="eastAsia" w:eastAsia="仿宋_GB2312" w:cs="仿宋_GB2312"/>
          <w:bCs/>
          <w:color w:val="000000"/>
          <w:sz w:val="32"/>
          <w:szCs w:val="32"/>
          <w:highlight w:val="none"/>
          <w:lang w:val="en-US" w:eastAsia="zh-CN"/>
        </w:rPr>
        <w:t>51</w:t>
      </w:r>
      <w:r>
        <w:rPr>
          <w:rFonts w:hint="eastAsia" w:ascii="Times New Roman" w:hAnsi="Times New Roman" w:eastAsia="仿宋_GB2312" w:cs="仿宋_GB2312"/>
          <w:bCs/>
          <w:color w:val="000000"/>
          <w:sz w:val="32"/>
          <w:szCs w:val="32"/>
          <w:highlight w:val="none"/>
        </w:rPr>
        <w:t>个项目共支出</w:t>
      </w:r>
      <w:r>
        <w:rPr>
          <w:rFonts w:hint="eastAsia" w:eastAsia="仿宋_GB2312" w:cs="仿宋_GB2312"/>
          <w:bCs/>
          <w:color w:val="000000"/>
          <w:sz w:val="32"/>
          <w:szCs w:val="32"/>
          <w:highlight w:val="none"/>
          <w:lang w:val="en-US" w:eastAsia="zh-CN"/>
        </w:rPr>
        <w:t>9261.96</w:t>
      </w:r>
      <w:r>
        <w:rPr>
          <w:rFonts w:hint="eastAsia" w:ascii="Times New Roman" w:hAnsi="Times New Roman" w:eastAsia="仿宋_GB2312" w:cs="仿宋_GB2312"/>
          <w:bCs/>
          <w:color w:val="000000"/>
          <w:sz w:val="32"/>
          <w:szCs w:val="32"/>
          <w:highlight w:val="none"/>
        </w:rPr>
        <w:t>万元。</w:t>
      </w:r>
    </w:p>
    <w:p w14:paraId="0EF43A00">
      <w:pPr>
        <w:keepNext w:val="0"/>
        <w:keepLines w:val="0"/>
        <w:pageBreakBefore w:val="0"/>
        <w:widowControl w:val="0"/>
        <w:kinsoku/>
        <w:wordWrap/>
        <w:overflowPunct w:val="0"/>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仿宋_GB2312"/>
          <w:b/>
          <w:bCs w:val="0"/>
          <w:sz w:val="32"/>
          <w:szCs w:val="32"/>
          <w:highlight w:val="none"/>
          <w:lang w:val="en-US" w:eastAsia="zh-CN"/>
        </w:rPr>
      </w:pPr>
      <w:r>
        <w:rPr>
          <w:rFonts w:hint="eastAsia" w:eastAsia="仿宋_GB2312" w:cs="仿宋_GB2312"/>
          <w:b/>
          <w:bCs w:val="0"/>
          <w:sz w:val="32"/>
          <w:szCs w:val="32"/>
          <w:highlight w:val="none"/>
          <w:lang w:val="en-US" w:eastAsia="zh-CN"/>
        </w:rPr>
        <w:t>3.部门结余结转情况</w:t>
      </w:r>
    </w:p>
    <w:p w14:paraId="196A2C6F">
      <w:pPr>
        <w:keepNext w:val="0"/>
        <w:keepLines w:val="0"/>
        <w:pageBreakBefore w:val="0"/>
        <w:widowControl w:val="0"/>
        <w:kinsoku/>
        <w:wordWrap/>
        <w:overflowPunct w:val="0"/>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仿宋_GB2312"/>
          <w:bCs/>
          <w:sz w:val="32"/>
          <w:szCs w:val="32"/>
          <w:highlight w:val="none"/>
        </w:rPr>
      </w:pPr>
      <w:r>
        <w:rPr>
          <w:rFonts w:hint="eastAsia" w:eastAsia="仿宋_GB2312" w:cs="仿宋_GB2312"/>
          <w:color w:val="auto"/>
          <w:sz w:val="32"/>
          <w:szCs w:val="32"/>
          <w:highlight w:val="none"/>
        </w:rPr>
        <w:t>截止202</w:t>
      </w:r>
      <w:r>
        <w:rPr>
          <w:rFonts w:hint="eastAsia" w:eastAsia="仿宋_GB2312" w:cs="仿宋_GB2312"/>
          <w:color w:val="auto"/>
          <w:sz w:val="32"/>
          <w:szCs w:val="32"/>
          <w:highlight w:val="none"/>
          <w:lang w:val="en-US" w:eastAsia="zh-CN"/>
        </w:rPr>
        <w:t>3</w:t>
      </w:r>
      <w:r>
        <w:rPr>
          <w:rFonts w:hint="eastAsia" w:eastAsia="仿宋_GB2312" w:cs="仿宋_GB2312"/>
          <w:color w:val="auto"/>
          <w:sz w:val="32"/>
          <w:szCs w:val="32"/>
          <w:highlight w:val="none"/>
        </w:rPr>
        <w:t>年末，</w:t>
      </w:r>
      <w:r>
        <w:rPr>
          <w:rFonts w:hint="eastAsia" w:eastAsia="仿宋_GB2312" w:cs="仿宋_GB2312"/>
          <w:color w:val="auto"/>
          <w:sz w:val="32"/>
          <w:szCs w:val="32"/>
          <w:highlight w:val="none"/>
          <w:lang w:eastAsia="zh-CN"/>
        </w:rPr>
        <w:t>忻州经济开发区管理委员会建设环保管理部</w:t>
      </w:r>
      <w:r>
        <w:rPr>
          <w:rFonts w:hint="eastAsia" w:eastAsia="仿宋_GB2312" w:cs="仿宋_GB2312"/>
          <w:color w:val="auto"/>
          <w:sz w:val="32"/>
          <w:szCs w:val="32"/>
          <w:highlight w:val="none"/>
        </w:rPr>
        <w:t>结转和结余资金</w:t>
      </w:r>
      <w:r>
        <w:rPr>
          <w:rFonts w:hint="eastAsia" w:eastAsia="仿宋_GB2312" w:cs="仿宋_GB2312"/>
          <w:color w:val="auto"/>
          <w:sz w:val="32"/>
          <w:szCs w:val="32"/>
          <w:highlight w:val="none"/>
          <w:lang w:val="en-US" w:eastAsia="zh-CN"/>
        </w:rPr>
        <w:t>8199.72</w:t>
      </w:r>
      <w:r>
        <w:rPr>
          <w:rFonts w:hint="eastAsia" w:eastAsia="仿宋_GB2312" w:cs="仿宋_GB2312"/>
          <w:color w:val="auto"/>
          <w:sz w:val="32"/>
          <w:szCs w:val="32"/>
          <w:highlight w:val="none"/>
        </w:rPr>
        <w:t>万元，年末财政指标调整收回。</w:t>
      </w:r>
    </w:p>
    <w:p w14:paraId="26C52C75">
      <w:pPr>
        <w:keepNext w:val="0"/>
        <w:keepLines w:val="0"/>
        <w:pageBreakBefore w:val="0"/>
        <w:widowControl w:val="0"/>
        <w:kinsoku/>
        <w:wordWrap/>
        <w:overflowPunct w:val="0"/>
        <w:topLinePunct w:val="0"/>
        <w:autoSpaceDE/>
        <w:autoSpaceDN/>
        <w:bidi w:val="0"/>
        <w:adjustRightInd/>
        <w:snapToGrid/>
        <w:spacing w:line="360" w:lineRule="auto"/>
        <w:ind w:firstLine="640" w:firstLineChars="200"/>
        <w:jc w:val="both"/>
        <w:textAlignment w:val="auto"/>
        <w:rPr>
          <w:rFonts w:eastAsia="楷体" w:cs="仿宋_GB2312"/>
          <w:bCs/>
          <w:sz w:val="32"/>
          <w:szCs w:val="32"/>
          <w:highlight w:val="none"/>
        </w:rPr>
      </w:pPr>
      <w:r>
        <w:rPr>
          <w:rFonts w:hint="eastAsia" w:eastAsia="楷体" w:cs="仿宋_GB2312"/>
          <w:bCs/>
          <w:sz w:val="32"/>
          <w:szCs w:val="32"/>
          <w:highlight w:val="none"/>
        </w:rPr>
        <w:t>（三）绩效目标</w:t>
      </w:r>
    </w:p>
    <w:p w14:paraId="7491C94B">
      <w:pPr>
        <w:keepNext w:val="0"/>
        <w:keepLines w:val="0"/>
        <w:pageBreakBefore w:val="0"/>
        <w:widowControl w:val="0"/>
        <w:kinsoku/>
        <w:wordWrap/>
        <w:overflowPunct w:val="0"/>
        <w:topLinePunct w:val="0"/>
        <w:autoSpaceDE/>
        <w:autoSpaceDN/>
        <w:bidi w:val="0"/>
        <w:adjustRightInd/>
        <w:snapToGrid/>
        <w:spacing w:line="360" w:lineRule="auto"/>
        <w:ind w:firstLine="640" w:firstLineChars="200"/>
        <w:jc w:val="both"/>
        <w:textAlignment w:val="auto"/>
        <w:rPr>
          <w:rFonts w:hint="eastAsia" w:eastAsia="仿宋_GB2312" w:cs="仿宋_GB2312"/>
          <w:bCs/>
          <w:sz w:val="32"/>
          <w:szCs w:val="32"/>
          <w:highlight w:val="none"/>
          <w:lang w:eastAsia="zh-CN"/>
        </w:rPr>
      </w:pPr>
      <w:r>
        <w:rPr>
          <w:rFonts w:hint="eastAsia" w:eastAsia="仿宋_GB2312" w:cs="仿宋_GB2312"/>
          <w:bCs/>
          <w:sz w:val="32"/>
          <w:szCs w:val="32"/>
          <w:highlight w:val="none"/>
        </w:rPr>
        <w:t>根据</w:t>
      </w:r>
      <w:r>
        <w:rPr>
          <w:rFonts w:hint="eastAsia" w:eastAsia="仿宋_GB2312" w:cs="仿宋_GB2312"/>
          <w:bCs/>
          <w:sz w:val="32"/>
          <w:szCs w:val="32"/>
          <w:highlight w:val="none"/>
          <w:lang w:eastAsia="zh-CN"/>
        </w:rPr>
        <w:t>忻州经济开发区管理委员会</w:t>
      </w:r>
      <w:r>
        <w:rPr>
          <w:rFonts w:hint="eastAsia" w:eastAsia="仿宋_GB2312" w:cs="仿宋_GB2312"/>
          <w:bCs/>
          <w:sz w:val="32"/>
          <w:szCs w:val="32"/>
          <w:highlight w:val="none"/>
        </w:rPr>
        <w:t>相关文件要求，下达</w:t>
      </w:r>
      <w:r>
        <w:rPr>
          <w:rFonts w:hint="eastAsia" w:eastAsia="仿宋_GB2312" w:cs="仿宋_GB2312"/>
          <w:bCs/>
          <w:sz w:val="32"/>
          <w:szCs w:val="32"/>
          <w:highlight w:val="none"/>
          <w:lang w:eastAsia="zh-CN"/>
        </w:rPr>
        <w:t>忻州经济开发区管理委员会建设环保管理部</w:t>
      </w:r>
      <w:r>
        <w:rPr>
          <w:rFonts w:hint="eastAsia" w:eastAsia="仿宋_GB2312" w:cs="仿宋_GB2312"/>
          <w:bCs/>
          <w:sz w:val="32"/>
          <w:szCs w:val="32"/>
          <w:highlight w:val="none"/>
        </w:rPr>
        <w:t>202</w:t>
      </w:r>
      <w:r>
        <w:rPr>
          <w:rFonts w:hint="eastAsia" w:eastAsia="仿宋_GB2312" w:cs="仿宋_GB2312"/>
          <w:bCs/>
          <w:sz w:val="32"/>
          <w:szCs w:val="32"/>
          <w:highlight w:val="none"/>
          <w:lang w:val="en-US" w:eastAsia="zh-CN"/>
        </w:rPr>
        <w:t>3</w:t>
      </w:r>
      <w:r>
        <w:rPr>
          <w:rFonts w:hint="eastAsia" w:eastAsia="仿宋_GB2312" w:cs="仿宋_GB2312"/>
          <w:bCs/>
          <w:sz w:val="32"/>
          <w:szCs w:val="32"/>
          <w:highlight w:val="none"/>
        </w:rPr>
        <w:t>年度履职工作任务包括</w:t>
      </w:r>
      <w:r>
        <w:rPr>
          <w:rFonts w:hint="eastAsia" w:eastAsia="仿宋_GB2312" w:cs="仿宋_GB2312"/>
          <w:bCs/>
          <w:sz w:val="32"/>
          <w:szCs w:val="32"/>
          <w:highlight w:val="none"/>
          <w:lang w:val="en-US" w:eastAsia="zh-CN"/>
        </w:rPr>
        <w:t>5</w:t>
      </w:r>
      <w:r>
        <w:rPr>
          <w:rFonts w:hint="eastAsia" w:eastAsia="仿宋_GB2312" w:cs="仿宋_GB2312"/>
          <w:bCs/>
          <w:sz w:val="32"/>
          <w:szCs w:val="32"/>
          <w:highlight w:val="none"/>
        </w:rPr>
        <w:t>个类型</w:t>
      </w:r>
      <w:r>
        <w:rPr>
          <w:rFonts w:hint="eastAsia" w:eastAsia="仿宋_GB2312" w:cs="仿宋_GB2312"/>
          <w:bCs/>
          <w:sz w:val="32"/>
          <w:szCs w:val="32"/>
          <w:highlight w:val="none"/>
          <w:lang w:val="en-US" w:eastAsia="zh-CN"/>
        </w:rPr>
        <w:t>12项履职内容，具体履职目标情况见下表1-2</w:t>
      </w:r>
      <w:r>
        <w:rPr>
          <w:rFonts w:hint="eastAsia" w:eastAsia="仿宋_GB2312" w:cs="仿宋_GB2312"/>
          <w:bCs/>
          <w:sz w:val="32"/>
          <w:szCs w:val="32"/>
          <w:highlight w:val="none"/>
          <w:lang w:eastAsia="zh-CN"/>
        </w:rPr>
        <w:t>。</w:t>
      </w:r>
    </w:p>
    <w:p w14:paraId="044AE47F">
      <w:pPr>
        <w:keepNext w:val="0"/>
        <w:keepLines w:val="0"/>
        <w:pageBreakBefore w:val="0"/>
        <w:widowControl w:val="0"/>
        <w:kinsoku/>
        <w:wordWrap/>
        <w:overflowPunct w:val="0"/>
        <w:topLinePunct w:val="0"/>
        <w:autoSpaceDE/>
        <w:autoSpaceDN/>
        <w:bidi w:val="0"/>
        <w:adjustRightInd/>
        <w:snapToGrid/>
        <w:spacing w:line="360" w:lineRule="auto"/>
        <w:jc w:val="center"/>
        <w:textAlignment w:val="auto"/>
        <w:rPr>
          <w:rFonts w:hint="eastAsia" w:ascii="黑体" w:hAnsi="黑体" w:eastAsia="黑体" w:cs="黑体"/>
          <w:sz w:val="28"/>
          <w:szCs w:val="28"/>
          <w:highlight w:val="none"/>
          <w:lang w:val="en-US" w:eastAsia="zh-CN"/>
        </w:rPr>
      </w:pPr>
      <w:r>
        <w:rPr>
          <w:rFonts w:hint="eastAsia" w:ascii="黑体" w:hAnsi="黑体" w:eastAsia="黑体" w:cs="黑体"/>
          <w:sz w:val="28"/>
          <w:szCs w:val="28"/>
          <w:highlight w:val="none"/>
          <w:lang w:val="en-US" w:eastAsia="zh-CN"/>
        </w:rPr>
        <w:t>表1-2：履职目标具体内容情况明细表</w:t>
      </w:r>
    </w:p>
    <w:tbl>
      <w:tblPr>
        <w:tblStyle w:val="10"/>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8"/>
        <w:gridCol w:w="1020"/>
        <w:gridCol w:w="6881"/>
      </w:tblGrid>
      <w:tr w14:paraId="018E7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blHeader/>
        </w:trPr>
        <w:tc>
          <w:tcPr>
            <w:tcW w:w="348" w:type="pct"/>
            <w:tcBorders>
              <w:top w:val="single" w:color="000000" w:sz="4" w:space="0"/>
              <w:left w:val="single" w:color="000000" w:sz="4" w:space="0"/>
              <w:bottom w:val="single" w:color="000000" w:sz="4" w:space="0"/>
              <w:right w:val="single" w:color="000000" w:sz="4" w:space="0"/>
            </w:tcBorders>
            <w:shd w:val="clear" w:color="auto" w:fill="BFBFBF"/>
            <w:noWrap/>
            <w:vAlign w:val="center"/>
          </w:tcPr>
          <w:p w14:paraId="0CF323D2">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序号</w:t>
            </w:r>
          </w:p>
        </w:tc>
        <w:tc>
          <w:tcPr>
            <w:tcW w:w="537" w:type="pct"/>
            <w:tcBorders>
              <w:top w:val="single" w:color="000000" w:sz="4" w:space="0"/>
              <w:left w:val="single" w:color="000000" w:sz="4" w:space="0"/>
              <w:bottom w:val="single" w:color="000000" w:sz="4" w:space="0"/>
              <w:right w:val="single" w:color="000000" w:sz="4" w:space="0"/>
            </w:tcBorders>
            <w:shd w:val="clear" w:color="auto" w:fill="BFBFBF"/>
            <w:noWrap/>
            <w:vAlign w:val="center"/>
          </w:tcPr>
          <w:p w14:paraId="4103D7C2">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履职类型</w:t>
            </w:r>
          </w:p>
        </w:tc>
        <w:tc>
          <w:tcPr>
            <w:tcW w:w="4114" w:type="pct"/>
            <w:tcBorders>
              <w:top w:val="single" w:color="000000" w:sz="4" w:space="0"/>
              <w:left w:val="single" w:color="000000" w:sz="4" w:space="0"/>
              <w:bottom w:val="single" w:color="000000" w:sz="4" w:space="0"/>
              <w:right w:val="single" w:color="000000" w:sz="4" w:space="0"/>
            </w:tcBorders>
            <w:shd w:val="clear" w:color="auto" w:fill="BFBFBF"/>
            <w:noWrap/>
            <w:vAlign w:val="center"/>
          </w:tcPr>
          <w:p w14:paraId="0978D116">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考核内容</w:t>
            </w:r>
          </w:p>
        </w:tc>
      </w:tr>
      <w:tr w14:paraId="7A9BD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57B8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5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1DF988">
            <w:pPr>
              <w:keepNext w:val="0"/>
              <w:keepLines w:val="0"/>
              <w:widowControl/>
              <w:suppressLineNumbers w:val="0"/>
              <w:jc w:val="center"/>
              <w:textAlignment w:val="center"/>
              <w:rPr>
                <w:rFonts w:ascii="Arial" w:hAnsi="Arial" w:eastAsia="宋体" w:cs="Arial"/>
                <w:i w:val="0"/>
                <w:iCs w:val="0"/>
                <w:color w:val="000000"/>
                <w:sz w:val="20"/>
                <w:szCs w:val="20"/>
                <w:highlight w:val="none"/>
                <w:u w:val="none"/>
              </w:rPr>
            </w:pPr>
            <w:r>
              <w:rPr>
                <w:rFonts w:hint="default" w:ascii="Arial" w:hAnsi="Arial" w:eastAsia="宋体" w:cs="Arial"/>
                <w:i w:val="0"/>
                <w:iCs w:val="0"/>
                <w:color w:val="000000"/>
                <w:kern w:val="0"/>
                <w:sz w:val="20"/>
                <w:szCs w:val="20"/>
                <w:highlight w:val="none"/>
                <w:u w:val="none"/>
                <w:lang w:val="en-US" w:eastAsia="zh-CN" w:bidi="ar"/>
              </w:rPr>
              <w:t>招商指标</w:t>
            </w:r>
          </w:p>
        </w:tc>
        <w:tc>
          <w:tcPr>
            <w:tcW w:w="4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3D0F4A">
            <w:pPr>
              <w:keepNext w:val="0"/>
              <w:keepLines w:val="0"/>
              <w:widowControl/>
              <w:suppressLineNumbers w:val="0"/>
              <w:jc w:val="left"/>
              <w:textAlignment w:val="center"/>
              <w:rPr>
                <w:rFonts w:ascii="宋体-简" w:hAnsi="宋体-简" w:eastAsia="宋体-简" w:cs="宋体-简"/>
                <w:i w:val="0"/>
                <w:iCs w:val="0"/>
                <w:color w:val="000000"/>
                <w:sz w:val="20"/>
                <w:szCs w:val="20"/>
                <w:highlight w:val="none"/>
                <w:u w:val="none"/>
              </w:rPr>
            </w:pPr>
            <w:r>
              <w:rPr>
                <w:rFonts w:hint="eastAsia" w:ascii="宋体-简" w:hAnsi="宋体-简" w:eastAsia="宋体-简" w:cs="宋体-简"/>
                <w:i w:val="0"/>
                <w:iCs w:val="0"/>
                <w:color w:val="000000"/>
                <w:kern w:val="0"/>
                <w:sz w:val="20"/>
                <w:szCs w:val="20"/>
                <w:highlight w:val="none"/>
                <w:u w:val="none"/>
                <w:lang w:val="en-US" w:eastAsia="zh-CN" w:bidi="ar"/>
              </w:rPr>
              <w:t>完成签约目标金额</w:t>
            </w:r>
            <w:r>
              <w:rPr>
                <w:rFonts w:hint="default" w:ascii="Arial" w:hAnsi="Arial" w:eastAsia="宋体-简" w:cs="Arial"/>
                <w:i w:val="0"/>
                <w:iCs w:val="0"/>
                <w:color w:val="000000"/>
                <w:kern w:val="0"/>
                <w:sz w:val="20"/>
                <w:szCs w:val="20"/>
                <w:highlight w:val="none"/>
                <w:u w:val="none"/>
                <w:lang w:val="en-US" w:eastAsia="zh-CN" w:bidi="ar"/>
              </w:rPr>
              <w:t>2.3</w:t>
            </w:r>
            <w:r>
              <w:rPr>
                <w:rFonts w:hint="eastAsia" w:ascii="宋体-简" w:hAnsi="宋体-简" w:eastAsia="宋体-简" w:cs="宋体-简"/>
                <w:i w:val="0"/>
                <w:iCs w:val="0"/>
                <w:color w:val="000000"/>
                <w:kern w:val="0"/>
                <w:sz w:val="20"/>
                <w:szCs w:val="20"/>
                <w:highlight w:val="none"/>
                <w:u w:val="none"/>
                <w:lang w:val="en-US" w:eastAsia="zh-CN" w:bidi="ar"/>
              </w:rPr>
              <w:t>亿元，项目落地率</w:t>
            </w:r>
            <w:r>
              <w:rPr>
                <w:rFonts w:hint="default" w:ascii="Arial" w:hAnsi="Arial" w:eastAsia="宋体-简" w:cs="Arial"/>
                <w:i w:val="0"/>
                <w:iCs w:val="0"/>
                <w:color w:val="000000"/>
                <w:kern w:val="0"/>
                <w:sz w:val="20"/>
                <w:szCs w:val="20"/>
                <w:highlight w:val="none"/>
                <w:u w:val="none"/>
                <w:lang w:val="en-US" w:eastAsia="zh-CN" w:bidi="ar"/>
              </w:rPr>
              <w:t>50%,</w:t>
            </w:r>
            <w:r>
              <w:rPr>
                <w:rFonts w:hint="eastAsia" w:ascii="宋体-简" w:hAnsi="宋体-简" w:eastAsia="宋体-简" w:cs="宋体-简"/>
                <w:i w:val="0"/>
                <w:iCs w:val="0"/>
                <w:color w:val="000000"/>
                <w:kern w:val="0"/>
                <w:sz w:val="20"/>
                <w:szCs w:val="20"/>
                <w:highlight w:val="none"/>
                <w:u w:val="none"/>
                <w:lang w:val="en-US" w:eastAsia="zh-CN" w:bidi="ar"/>
              </w:rPr>
              <w:t>项目开工率</w:t>
            </w:r>
            <w:r>
              <w:rPr>
                <w:rFonts w:hint="default" w:ascii="Arial" w:hAnsi="Arial" w:eastAsia="宋体-简" w:cs="Arial"/>
                <w:i w:val="0"/>
                <w:iCs w:val="0"/>
                <w:color w:val="000000"/>
                <w:kern w:val="0"/>
                <w:sz w:val="20"/>
                <w:szCs w:val="20"/>
                <w:highlight w:val="none"/>
                <w:u w:val="none"/>
                <w:lang w:val="en-US" w:eastAsia="zh-CN" w:bidi="ar"/>
              </w:rPr>
              <w:t>40%</w:t>
            </w:r>
            <w:r>
              <w:rPr>
                <w:rFonts w:hint="default" w:ascii="Arial" w:hAnsi="Arial" w:eastAsia="宋体-简" w:cs="Arial"/>
                <w:i w:val="0"/>
                <w:iCs w:val="0"/>
                <w:color w:val="000000"/>
                <w:kern w:val="0"/>
                <w:sz w:val="20"/>
                <w:szCs w:val="20"/>
                <w:highlight w:val="none"/>
                <w:u w:val="none"/>
                <w:lang w:val="en-US" w:eastAsia="zh-CN" w:bidi="ar"/>
              </w:rPr>
              <w:br w:type="textWrapping"/>
            </w:r>
            <w:r>
              <w:rPr>
                <w:rFonts w:hint="eastAsia" w:ascii="宋体-简" w:hAnsi="宋体-简" w:eastAsia="宋体-简" w:cs="宋体-简"/>
                <w:i w:val="0"/>
                <w:iCs w:val="0"/>
                <w:color w:val="000000"/>
                <w:kern w:val="0"/>
                <w:sz w:val="20"/>
                <w:szCs w:val="20"/>
                <w:highlight w:val="none"/>
                <w:u w:val="none"/>
                <w:lang w:val="en-US" w:eastAsia="zh-CN" w:bidi="ar"/>
              </w:rPr>
              <w:t>落地率</w:t>
            </w:r>
            <w:r>
              <w:rPr>
                <w:rFonts w:hint="default" w:ascii="Arial" w:hAnsi="Arial" w:eastAsia="宋体-简" w:cs="Arial"/>
                <w:i w:val="0"/>
                <w:iCs w:val="0"/>
                <w:color w:val="000000"/>
                <w:kern w:val="0"/>
                <w:sz w:val="20"/>
                <w:szCs w:val="20"/>
                <w:highlight w:val="none"/>
                <w:u w:val="none"/>
                <w:lang w:val="en-US" w:eastAsia="zh-CN" w:bidi="ar"/>
              </w:rPr>
              <w:t>=</w:t>
            </w:r>
            <w:r>
              <w:rPr>
                <w:rFonts w:hint="eastAsia" w:ascii="宋体-简" w:hAnsi="宋体-简" w:eastAsia="宋体-简" w:cs="宋体-简"/>
                <w:i w:val="0"/>
                <w:iCs w:val="0"/>
                <w:color w:val="000000"/>
                <w:kern w:val="0"/>
                <w:sz w:val="20"/>
                <w:szCs w:val="20"/>
                <w:highlight w:val="none"/>
                <w:u w:val="none"/>
                <w:lang w:val="en-US" w:eastAsia="zh-CN" w:bidi="ar"/>
              </w:rPr>
              <w:t>落地</w:t>
            </w:r>
            <w:r>
              <w:rPr>
                <w:rFonts w:hint="eastAsia" w:ascii="Arial" w:hAnsi="Arial" w:eastAsia="宋体-简" w:cs="Arial"/>
                <w:i w:val="0"/>
                <w:iCs w:val="0"/>
                <w:color w:val="000000"/>
                <w:kern w:val="0"/>
                <w:sz w:val="20"/>
                <w:szCs w:val="20"/>
                <w:highlight w:val="none"/>
                <w:u w:val="none"/>
                <w:lang w:val="en-US" w:eastAsia="zh-CN" w:bidi="ar"/>
              </w:rPr>
              <w:t>（</w:t>
            </w:r>
            <w:r>
              <w:rPr>
                <w:rFonts w:hint="eastAsia" w:ascii="宋体-简" w:hAnsi="宋体-简" w:eastAsia="宋体-简" w:cs="宋体-简"/>
                <w:i w:val="0"/>
                <w:iCs w:val="0"/>
                <w:color w:val="000000"/>
                <w:kern w:val="0"/>
                <w:sz w:val="20"/>
                <w:szCs w:val="20"/>
                <w:highlight w:val="none"/>
                <w:u w:val="none"/>
                <w:lang w:val="en-US" w:eastAsia="zh-CN" w:bidi="ar"/>
              </w:rPr>
              <w:t>立项</w:t>
            </w:r>
            <w:r>
              <w:rPr>
                <w:rFonts w:hint="eastAsia" w:ascii="Arial" w:hAnsi="Arial" w:eastAsia="宋体-简" w:cs="Arial"/>
                <w:i w:val="0"/>
                <w:iCs w:val="0"/>
                <w:color w:val="000000"/>
                <w:kern w:val="0"/>
                <w:sz w:val="20"/>
                <w:szCs w:val="20"/>
                <w:highlight w:val="none"/>
                <w:u w:val="none"/>
                <w:lang w:val="en-US" w:eastAsia="zh-CN" w:bidi="ar"/>
              </w:rPr>
              <w:t>）</w:t>
            </w:r>
            <w:r>
              <w:rPr>
                <w:rFonts w:hint="eastAsia" w:ascii="宋体-简" w:hAnsi="宋体-简" w:eastAsia="宋体-简" w:cs="宋体-简"/>
                <w:i w:val="0"/>
                <w:iCs w:val="0"/>
                <w:color w:val="000000"/>
                <w:kern w:val="0"/>
                <w:sz w:val="20"/>
                <w:szCs w:val="20"/>
                <w:highlight w:val="none"/>
                <w:u w:val="none"/>
                <w:lang w:val="en-US" w:eastAsia="zh-CN" w:bidi="ar"/>
              </w:rPr>
              <w:t>项目数</w:t>
            </w:r>
            <w:r>
              <w:rPr>
                <w:rFonts w:hint="default" w:ascii="Arial" w:hAnsi="Arial" w:eastAsia="宋体-简" w:cs="Arial"/>
                <w:i w:val="0"/>
                <w:iCs w:val="0"/>
                <w:color w:val="000000"/>
                <w:kern w:val="0"/>
                <w:sz w:val="20"/>
                <w:szCs w:val="20"/>
                <w:highlight w:val="none"/>
                <w:u w:val="none"/>
                <w:lang w:val="en-US" w:eastAsia="zh-CN" w:bidi="ar"/>
              </w:rPr>
              <w:t>/</w:t>
            </w:r>
            <w:r>
              <w:rPr>
                <w:rFonts w:hint="eastAsia" w:ascii="宋体-简" w:hAnsi="宋体-简" w:eastAsia="宋体-简" w:cs="宋体-简"/>
                <w:i w:val="0"/>
                <w:iCs w:val="0"/>
                <w:color w:val="000000"/>
                <w:kern w:val="0"/>
                <w:sz w:val="20"/>
                <w:szCs w:val="20"/>
                <w:highlight w:val="none"/>
                <w:u w:val="none"/>
                <w:lang w:val="en-US" w:eastAsia="zh-CN" w:bidi="ar"/>
              </w:rPr>
              <w:t>签约项目数</w:t>
            </w:r>
            <w:r>
              <w:rPr>
                <w:rFonts w:hint="eastAsia" w:ascii="宋体-简" w:hAnsi="宋体-简" w:eastAsia="宋体-简" w:cs="宋体-简"/>
                <w:i w:val="0"/>
                <w:iCs w:val="0"/>
                <w:color w:val="000000"/>
                <w:kern w:val="0"/>
                <w:sz w:val="20"/>
                <w:szCs w:val="20"/>
                <w:highlight w:val="none"/>
                <w:u w:val="none"/>
                <w:lang w:val="en-US" w:eastAsia="zh-CN" w:bidi="ar"/>
              </w:rPr>
              <w:br w:type="textWrapping"/>
            </w:r>
            <w:r>
              <w:rPr>
                <w:rFonts w:hint="eastAsia" w:ascii="宋体-简" w:hAnsi="宋体-简" w:eastAsia="宋体-简" w:cs="宋体-简"/>
                <w:i w:val="0"/>
                <w:iCs w:val="0"/>
                <w:color w:val="000000"/>
                <w:kern w:val="0"/>
                <w:sz w:val="20"/>
                <w:szCs w:val="20"/>
                <w:highlight w:val="none"/>
                <w:u w:val="none"/>
                <w:lang w:val="en-US" w:eastAsia="zh-CN" w:bidi="ar"/>
              </w:rPr>
              <w:t>开工率</w:t>
            </w:r>
            <w:r>
              <w:rPr>
                <w:rFonts w:hint="default" w:ascii="Arial" w:hAnsi="Arial" w:eastAsia="宋体-简" w:cs="Arial"/>
                <w:i w:val="0"/>
                <w:iCs w:val="0"/>
                <w:color w:val="000000"/>
                <w:kern w:val="0"/>
                <w:sz w:val="20"/>
                <w:szCs w:val="20"/>
                <w:highlight w:val="none"/>
                <w:u w:val="none"/>
                <w:lang w:val="en-US" w:eastAsia="zh-CN" w:bidi="ar"/>
              </w:rPr>
              <w:t>=</w:t>
            </w:r>
            <w:r>
              <w:rPr>
                <w:rFonts w:hint="eastAsia" w:ascii="宋体-简" w:hAnsi="宋体-简" w:eastAsia="宋体-简" w:cs="宋体-简"/>
                <w:i w:val="0"/>
                <w:iCs w:val="0"/>
                <w:color w:val="000000"/>
                <w:kern w:val="0"/>
                <w:sz w:val="20"/>
                <w:szCs w:val="20"/>
                <w:highlight w:val="none"/>
                <w:u w:val="none"/>
                <w:lang w:val="en-US" w:eastAsia="zh-CN" w:bidi="ar"/>
              </w:rPr>
              <w:t>新开工项目计划投资额</w:t>
            </w:r>
            <w:r>
              <w:rPr>
                <w:rFonts w:hint="default" w:ascii="Arial" w:hAnsi="Arial" w:eastAsia="宋体-简" w:cs="Arial"/>
                <w:i w:val="0"/>
                <w:iCs w:val="0"/>
                <w:color w:val="000000"/>
                <w:kern w:val="0"/>
                <w:sz w:val="20"/>
                <w:szCs w:val="20"/>
                <w:highlight w:val="none"/>
                <w:u w:val="none"/>
                <w:lang w:val="en-US" w:eastAsia="zh-CN" w:bidi="ar"/>
              </w:rPr>
              <w:t>/</w:t>
            </w:r>
            <w:r>
              <w:rPr>
                <w:rFonts w:hint="eastAsia" w:ascii="宋体-简" w:hAnsi="宋体-简" w:eastAsia="宋体-简" w:cs="宋体-简"/>
                <w:i w:val="0"/>
                <w:iCs w:val="0"/>
                <w:color w:val="000000"/>
                <w:kern w:val="0"/>
                <w:sz w:val="20"/>
                <w:szCs w:val="20"/>
                <w:highlight w:val="none"/>
                <w:u w:val="none"/>
                <w:lang w:val="en-US" w:eastAsia="zh-CN" w:bidi="ar"/>
              </w:rPr>
              <w:t>签约项目投资总额</w:t>
            </w:r>
          </w:p>
        </w:tc>
      </w:tr>
      <w:tr w14:paraId="07B5B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267B8">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5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2FA362">
            <w:pPr>
              <w:keepNext w:val="0"/>
              <w:keepLines w:val="0"/>
              <w:widowControl/>
              <w:suppressLineNumbers w:val="0"/>
              <w:jc w:val="center"/>
              <w:textAlignment w:val="center"/>
              <w:rPr>
                <w:rFonts w:hint="default" w:ascii="Arial" w:hAnsi="Arial" w:eastAsia="宋体" w:cs="Arial"/>
                <w:i w:val="0"/>
                <w:iCs w:val="0"/>
                <w:color w:val="000000"/>
                <w:sz w:val="20"/>
                <w:szCs w:val="20"/>
                <w:highlight w:val="none"/>
                <w:u w:val="none"/>
              </w:rPr>
            </w:pPr>
            <w:r>
              <w:rPr>
                <w:rFonts w:hint="default" w:ascii="Arial" w:hAnsi="Arial" w:eastAsia="宋体" w:cs="Arial"/>
                <w:i w:val="0"/>
                <w:iCs w:val="0"/>
                <w:color w:val="000000"/>
                <w:kern w:val="0"/>
                <w:sz w:val="20"/>
                <w:szCs w:val="20"/>
                <w:highlight w:val="none"/>
                <w:u w:val="none"/>
                <w:lang w:val="en-US" w:eastAsia="zh-CN" w:bidi="ar"/>
              </w:rPr>
              <w:t>重点工作指标</w:t>
            </w:r>
          </w:p>
        </w:tc>
        <w:tc>
          <w:tcPr>
            <w:tcW w:w="4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BA08CC">
            <w:pPr>
              <w:keepNext w:val="0"/>
              <w:keepLines w:val="0"/>
              <w:widowControl/>
              <w:suppressLineNumbers w:val="0"/>
              <w:jc w:val="left"/>
              <w:textAlignment w:val="center"/>
              <w:rPr>
                <w:rFonts w:hint="default" w:ascii="Arial" w:hAnsi="Arial" w:eastAsia="宋体" w:cs="Arial"/>
                <w:i w:val="0"/>
                <w:iCs w:val="0"/>
                <w:color w:val="000000"/>
                <w:sz w:val="20"/>
                <w:szCs w:val="20"/>
                <w:highlight w:val="none"/>
                <w:u w:val="none"/>
              </w:rPr>
            </w:pPr>
            <w:r>
              <w:rPr>
                <w:rFonts w:ascii="宋体" w:hAnsi="宋体" w:eastAsia="宋体" w:cs="宋体"/>
                <w:i w:val="0"/>
                <w:iCs w:val="0"/>
                <w:color w:val="000000"/>
                <w:kern w:val="0"/>
                <w:sz w:val="20"/>
                <w:szCs w:val="20"/>
                <w:highlight w:val="none"/>
                <w:u w:val="none"/>
                <w:lang w:val="en-US" w:eastAsia="zh-CN" w:bidi="ar"/>
              </w:rPr>
              <w:t>确保区内不发生环境污染突发事件和建设工程质量事故</w:t>
            </w:r>
          </w:p>
        </w:tc>
      </w:tr>
      <w:tr w14:paraId="373C1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A729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5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C38237">
            <w:pPr>
              <w:jc w:val="center"/>
              <w:rPr>
                <w:rFonts w:hint="default" w:ascii="Arial" w:hAnsi="Arial" w:eastAsia="宋体" w:cs="Arial"/>
                <w:i w:val="0"/>
                <w:iCs w:val="0"/>
                <w:color w:val="000000"/>
                <w:sz w:val="20"/>
                <w:szCs w:val="20"/>
                <w:highlight w:val="none"/>
                <w:u w:val="none"/>
              </w:rPr>
            </w:pPr>
          </w:p>
        </w:tc>
        <w:tc>
          <w:tcPr>
            <w:tcW w:w="4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67D9CA">
            <w:pPr>
              <w:keepNext w:val="0"/>
              <w:keepLines w:val="0"/>
              <w:widowControl/>
              <w:suppressLineNumbers w:val="0"/>
              <w:jc w:val="left"/>
              <w:textAlignment w:val="center"/>
              <w:rPr>
                <w:rFonts w:hint="default" w:ascii="Arial" w:hAnsi="Arial" w:eastAsia="宋体" w:cs="Arial"/>
                <w:i w:val="0"/>
                <w:iCs w:val="0"/>
                <w:color w:val="000000"/>
                <w:sz w:val="20"/>
                <w:szCs w:val="20"/>
                <w:highlight w:val="none"/>
                <w:u w:val="none"/>
              </w:rPr>
            </w:pPr>
            <w:r>
              <w:rPr>
                <w:rFonts w:ascii="宋体" w:hAnsi="宋体" w:eastAsia="宋体" w:cs="宋体"/>
                <w:i w:val="0"/>
                <w:iCs w:val="0"/>
                <w:color w:val="000000"/>
                <w:kern w:val="0"/>
                <w:sz w:val="20"/>
                <w:szCs w:val="20"/>
                <w:highlight w:val="none"/>
                <w:u w:val="none"/>
                <w:lang w:val="en-US" w:eastAsia="zh-CN" w:bidi="ar"/>
              </w:rPr>
              <w:t>督促通汇公司加强区内基础设施建设。</w:t>
            </w:r>
          </w:p>
        </w:tc>
      </w:tr>
      <w:tr w14:paraId="3E35E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E2B1E">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5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F19C27">
            <w:pPr>
              <w:jc w:val="center"/>
              <w:rPr>
                <w:rFonts w:hint="default" w:ascii="Arial" w:hAnsi="Arial" w:eastAsia="宋体" w:cs="Arial"/>
                <w:i w:val="0"/>
                <w:iCs w:val="0"/>
                <w:color w:val="000000"/>
                <w:sz w:val="20"/>
                <w:szCs w:val="20"/>
                <w:highlight w:val="none"/>
                <w:u w:val="none"/>
              </w:rPr>
            </w:pPr>
          </w:p>
        </w:tc>
        <w:tc>
          <w:tcPr>
            <w:tcW w:w="4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C1C589">
            <w:pPr>
              <w:keepNext w:val="0"/>
              <w:keepLines w:val="0"/>
              <w:widowControl/>
              <w:suppressLineNumbers w:val="0"/>
              <w:jc w:val="left"/>
              <w:textAlignment w:val="center"/>
              <w:rPr>
                <w:rFonts w:hint="default" w:ascii="Arial" w:hAnsi="Arial" w:eastAsia="宋体" w:cs="Arial"/>
                <w:i w:val="0"/>
                <w:iCs w:val="0"/>
                <w:color w:val="000000"/>
                <w:sz w:val="20"/>
                <w:szCs w:val="20"/>
                <w:highlight w:val="none"/>
                <w:u w:val="none"/>
              </w:rPr>
            </w:pPr>
            <w:r>
              <w:rPr>
                <w:rFonts w:ascii="宋体" w:hAnsi="宋体" w:eastAsia="宋体" w:cs="宋体"/>
                <w:i w:val="0"/>
                <w:iCs w:val="0"/>
                <w:color w:val="000000"/>
                <w:kern w:val="0"/>
                <w:sz w:val="20"/>
                <w:szCs w:val="20"/>
                <w:highlight w:val="none"/>
                <w:u w:val="none"/>
                <w:lang w:val="en-US" w:eastAsia="zh-CN" w:bidi="ar"/>
              </w:rPr>
              <w:t>积极推进煤化工循环经济园区基础设施配套项目。</w:t>
            </w:r>
          </w:p>
        </w:tc>
      </w:tr>
      <w:tr w14:paraId="48A70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0813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5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D135F2">
            <w:pPr>
              <w:jc w:val="center"/>
              <w:rPr>
                <w:rFonts w:hint="default" w:ascii="Arial" w:hAnsi="Arial" w:eastAsia="宋体" w:cs="Arial"/>
                <w:i w:val="0"/>
                <w:iCs w:val="0"/>
                <w:color w:val="000000"/>
                <w:sz w:val="20"/>
                <w:szCs w:val="20"/>
                <w:highlight w:val="none"/>
                <w:u w:val="none"/>
              </w:rPr>
            </w:pPr>
          </w:p>
        </w:tc>
        <w:tc>
          <w:tcPr>
            <w:tcW w:w="4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8F6EF1">
            <w:pPr>
              <w:keepNext w:val="0"/>
              <w:keepLines w:val="0"/>
              <w:widowControl/>
              <w:suppressLineNumbers w:val="0"/>
              <w:jc w:val="left"/>
              <w:textAlignment w:val="center"/>
              <w:rPr>
                <w:rFonts w:hint="default" w:ascii="Arial" w:hAnsi="Arial" w:eastAsia="宋体" w:cs="Arial"/>
                <w:i w:val="0"/>
                <w:iCs w:val="0"/>
                <w:color w:val="000000"/>
                <w:sz w:val="20"/>
                <w:szCs w:val="20"/>
                <w:highlight w:val="none"/>
                <w:u w:val="none"/>
              </w:rPr>
            </w:pPr>
            <w:r>
              <w:rPr>
                <w:rFonts w:ascii="宋体" w:hAnsi="宋体" w:eastAsia="宋体" w:cs="宋体"/>
                <w:i w:val="0"/>
                <w:iCs w:val="0"/>
                <w:color w:val="000000"/>
                <w:kern w:val="0"/>
                <w:sz w:val="20"/>
                <w:szCs w:val="20"/>
                <w:highlight w:val="none"/>
                <w:u w:val="none"/>
                <w:lang w:val="en-US" w:eastAsia="zh-CN" w:bidi="ar"/>
              </w:rPr>
              <w:t>积极推进云中消防站建设项目。</w:t>
            </w:r>
          </w:p>
        </w:tc>
      </w:tr>
      <w:tr w14:paraId="67FD1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B1475">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w:t>
            </w:r>
          </w:p>
        </w:tc>
        <w:tc>
          <w:tcPr>
            <w:tcW w:w="5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041272">
            <w:pPr>
              <w:jc w:val="center"/>
              <w:rPr>
                <w:rFonts w:hint="default" w:ascii="Arial" w:hAnsi="Arial" w:eastAsia="宋体" w:cs="Arial"/>
                <w:i w:val="0"/>
                <w:iCs w:val="0"/>
                <w:color w:val="000000"/>
                <w:sz w:val="20"/>
                <w:szCs w:val="20"/>
                <w:highlight w:val="none"/>
                <w:u w:val="none"/>
              </w:rPr>
            </w:pPr>
          </w:p>
        </w:tc>
        <w:tc>
          <w:tcPr>
            <w:tcW w:w="4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1AF351">
            <w:pPr>
              <w:keepNext w:val="0"/>
              <w:keepLines w:val="0"/>
              <w:widowControl/>
              <w:suppressLineNumbers w:val="0"/>
              <w:jc w:val="left"/>
              <w:textAlignment w:val="center"/>
              <w:rPr>
                <w:rFonts w:hint="default" w:ascii="Arial" w:hAnsi="Arial" w:eastAsia="宋体" w:cs="Arial"/>
                <w:i w:val="0"/>
                <w:iCs w:val="0"/>
                <w:color w:val="000000"/>
                <w:sz w:val="20"/>
                <w:szCs w:val="20"/>
                <w:highlight w:val="none"/>
                <w:u w:val="none"/>
              </w:rPr>
            </w:pPr>
            <w:r>
              <w:rPr>
                <w:rFonts w:ascii="宋体" w:hAnsi="宋体" w:eastAsia="宋体" w:cs="宋体"/>
                <w:i w:val="0"/>
                <w:iCs w:val="0"/>
                <w:color w:val="000000"/>
                <w:kern w:val="0"/>
                <w:sz w:val="20"/>
                <w:szCs w:val="20"/>
                <w:highlight w:val="none"/>
                <w:u w:val="none"/>
                <w:lang w:val="en-US" w:eastAsia="zh-CN" w:bidi="ar"/>
              </w:rPr>
              <w:t>牵头做好化工园区认定工作。</w:t>
            </w:r>
          </w:p>
        </w:tc>
      </w:tr>
      <w:tr w14:paraId="6DBD6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DC468">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w:t>
            </w:r>
          </w:p>
        </w:tc>
        <w:tc>
          <w:tcPr>
            <w:tcW w:w="5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F05AEA">
            <w:pPr>
              <w:jc w:val="center"/>
              <w:rPr>
                <w:rFonts w:hint="default" w:ascii="Arial" w:hAnsi="Arial" w:eastAsia="宋体" w:cs="Arial"/>
                <w:i w:val="0"/>
                <w:iCs w:val="0"/>
                <w:color w:val="000000"/>
                <w:sz w:val="20"/>
                <w:szCs w:val="20"/>
                <w:highlight w:val="none"/>
                <w:u w:val="none"/>
              </w:rPr>
            </w:pPr>
          </w:p>
        </w:tc>
        <w:tc>
          <w:tcPr>
            <w:tcW w:w="4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89C6B9">
            <w:pPr>
              <w:keepNext w:val="0"/>
              <w:keepLines w:val="0"/>
              <w:widowControl/>
              <w:suppressLineNumbers w:val="0"/>
              <w:jc w:val="left"/>
              <w:textAlignment w:val="center"/>
              <w:rPr>
                <w:rFonts w:hint="default" w:ascii="Arial" w:hAnsi="Arial" w:eastAsia="宋体" w:cs="Arial"/>
                <w:i w:val="0"/>
                <w:iCs w:val="0"/>
                <w:color w:val="000000"/>
                <w:sz w:val="20"/>
                <w:szCs w:val="20"/>
                <w:highlight w:val="none"/>
                <w:u w:val="none"/>
              </w:rPr>
            </w:pPr>
            <w:r>
              <w:rPr>
                <w:rFonts w:ascii="宋体" w:hAnsi="宋体" w:eastAsia="宋体" w:cs="宋体"/>
                <w:i w:val="0"/>
                <w:iCs w:val="0"/>
                <w:color w:val="000000"/>
                <w:kern w:val="0"/>
                <w:sz w:val="20"/>
                <w:szCs w:val="20"/>
                <w:highlight w:val="none"/>
                <w:u w:val="none"/>
                <w:lang w:val="en-US" w:eastAsia="zh-CN" w:bidi="ar"/>
              </w:rPr>
              <w:t>做好创卫、创文相关工作。</w:t>
            </w:r>
          </w:p>
        </w:tc>
      </w:tr>
      <w:tr w14:paraId="237C7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39A8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8</w:t>
            </w:r>
          </w:p>
        </w:tc>
        <w:tc>
          <w:tcPr>
            <w:tcW w:w="5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D5A948">
            <w:pPr>
              <w:jc w:val="center"/>
              <w:rPr>
                <w:rFonts w:hint="default" w:ascii="Arial" w:hAnsi="Arial" w:eastAsia="宋体" w:cs="Arial"/>
                <w:i w:val="0"/>
                <w:iCs w:val="0"/>
                <w:color w:val="000000"/>
                <w:sz w:val="20"/>
                <w:szCs w:val="20"/>
                <w:highlight w:val="none"/>
                <w:u w:val="none"/>
              </w:rPr>
            </w:pPr>
          </w:p>
        </w:tc>
        <w:tc>
          <w:tcPr>
            <w:tcW w:w="4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4C5A71">
            <w:pPr>
              <w:keepNext w:val="0"/>
              <w:keepLines w:val="0"/>
              <w:widowControl/>
              <w:suppressLineNumbers w:val="0"/>
              <w:jc w:val="left"/>
              <w:textAlignment w:val="center"/>
              <w:rPr>
                <w:rFonts w:hint="default" w:ascii="Arial" w:hAnsi="Arial" w:eastAsia="宋体" w:cs="Arial"/>
                <w:i w:val="0"/>
                <w:iCs w:val="0"/>
                <w:color w:val="000000"/>
                <w:sz w:val="20"/>
                <w:szCs w:val="20"/>
                <w:highlight w:val="none"/>
                <w:u w:val="none"/>
              </w:rPr>
            </w:pPr>
            <w:r>
              <w:rPr>
                <w:rFonts w:ascii="宋体" w:hAnsi="宋体" w:eastAsia="宋体" w:cs="宋体"/>
                <w:i w:val="0"/>
                <w:iCs w:val="0"/>
                <w:color w:val="000000"/>
                <w:kern w:val="0"/>
                <w:sz w:val="20"/>
                <w:szCs w:val="20"/>
                <w:highlight w:val="none"/>
                <w:u w:val="none"/>
                <w:lang w:val="en-US" w:eastAsia="zh-CN" w:bidi="ar"/>
              </w:rPr>
              <w:t>按要求完成煤化工循环经济园区专项监测站建设任务。</w:t>
            </w:r>
          </w:p>
        </w:tc>
      </w:tr>
      <w:tr w14:paraId="3C5A9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0A068">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9</w:t>
            </w:r>
          </w:p>
        </w:tc>
        <w:tc>
          <w:tcPr>
            <w:tcW w:w="5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E1FA81">
            <w:pPr>
              <w:jc w:val="center"/>
              <w:rPr>
                <w:rFonts w:hint="default" w:ascii="Arial" w:hAnsi="Arial" w:eastAsia="宋体" w:cs="Arial"/>
                <w:i w:val="0"/>
                <w:iCs w:val="0"/>
                <w:color w:val="000000"/>
                <w:sz w:val="20"/>
                <w:szCs w:val="20"/>
                <w:highlight w:val="none"/>
                <w:u w:val="none"/>
              </w:rPr>
            </w:pPr>
          </w:p>
        </w:tc>
        <w:tc>
          <w:tcPr>
            <w:tcW w:w="4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4A3939">
            <w:pPr>
              <w:keepNext w:val="0"/>
              <w:keepLines w:val="0"/>
              <w:widowControl/>
              <w:suppressLineNumbers w:val="0"/>
              <w:jc w:val="left"/>
              <w:textAlignment w:val="center"/>
              <w:rPr>
                <w:rFonts w:hint="default" w:ascii="Arial" w:hAnsi="Arial" w:eastAsia="宋体" w:cs="Arial"/>
                <w:i w:val="0"/>
                <w:iCs w:val="0"/>
                <w:color w:val="000000"/>
                <w:sz w:val="20"/>
                <w:szCs w:val="20"/>
                <w:highlight w:val="none"/>
                <w:u w:val="none"/>
              </w:rPr>
            </w:pPr>
            <w:r>
              <w:rPr>
                <w:rFonts w:ascii="宋体" w:hAnsi="宋体" w:eastAsia="宋体" w:cs="宋体"/>
                <w:i w:val="0"/>
                <w:iCs w:val="0"/>
                <w:color w:val="000000"/>
                <w:kern w:val="0"/>
                <w:sz w:val="20"/>
                <w:szCs w:val="20"/>
                <w:highlight w:val="none"/>
                <w:u w:val="none"/>
                <w:lang w:val="en-US" w:eastAsia="zh-CN" w:bidi="ar"/>
              </w:rPr>
              <w:t>做好中央生态环境保护督察反馈问题整改销号验收工作。</w:t>
            </w:r>
          </w:p>
        </w:tc>
      </w:tr>
      <w:tr w14:paraId="26425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44C9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w:t>
            </w:r>
          </w:p>
        </w:tc>
        <w:tc>
          <w:tcPr>
            <w:tcW w:w="5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0D9F56">
            <w:pPr>
              <w:keepNext w:val="0"/>
              <w:keepLines w:val="0"/>
              <w:widowControl/>
              <w:suppressLineNumbers w:val="0"/>
              <w:jc w:val="center"/>
              <w:textAlignment w:val="center"/>
              <w:rPr>
                <w:rFonts w:hint="default" w:ascii="Arial" w:hAnsi="Arial" w:eastAsia="宋体" w:cs="Arial"/>
                <w:i w:val="0"/>
                <w:iCs w:val="0"/>
                <w:color w:val="000000"/>
                <w:sz w:val="20"/>
                <w:szCs w:val="20"/>
                <w:highlight w:val="none"/>
                <w:u w:val="none"/>
              </w:rPr>
            </w:pPr>
            <w:r>
              <w:rPr>
                <w:rFonts w:hint="default" w:ascii="Arial" w:hAnsi="Arial" w:eastAsia="宋体" w:cs="Arial"/>
                <w:i w:val="0"/>
                <w:iCs w:val="0"/>
                <w:color w:val="000000"/>
                <w:kern w:val="0"/>
                <w:sz w:val="20"/>
                <w:szCs w:val="20"/>
                <w:highlight w:val="none"/>
                <w:u w:val="none"/>
                <w:lang w:val="en-US" w:eastAsia="zh-CN" w:bidi="ar"/>
              </w:rPr>
              <w:t>创新指标</w:t>
            </w:r>
          </w:p>
        </w:tc>
        <w:tc>
          <w:tcPr>
            <w:tcW w:w="4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72E64D">
            <w:pPr>
              <w:keepNext w:val="0"/>
              <w:keepLines w:val="0"/>
              <w:widowControl/>
              <w:suppressLineNumbers w:val="0"/>
              <w:jc w:val="left"/>
              <w:textAlignment w:val="center"/>
              <w:rPr>
                <w:rFonts w:hint="default" w:ascii="Arial" w:hAnsi="Arial" w:eastAsia="宋体" w:cs="Arial"/>
                <w:i w:val="0"/>
                <w:iCs w:val="0"/>
                <w:color w:val="000000"/>
                <w:sz w:val="20"/>
                <w:szCs w:val="20"/>
                <w:highlight w:val="none"/>
                <w:u w:val="none"/>
              </w:rPr>
            </w:pPr>
            <w:r>
              <w:rPr>
                <w:rFonts w:ascii="宋体" w:hAnsi="宋体" w:eastAsia="宋体" w:cs="宋体"/>
                <w:i w:val="0"/>
                <w:iCs w:val="0"/>
                <w:color w:val="000000"/>
                <w:kern w:val="0"/>
                <w:sz w:val="20"/>
                <w:szCs w:val="20"/>
                <w:highlight w:val="none"/>
                <w:u w:val="none"/>
                <w:lang w:val="en-US" w:eastAsia="zh-CN" w:bidi="ar"/>
              </w:rPr>
              <w:t>本部门出台改革创新举措。</w:t>
            </w:r>
            <w:r>
              <w:rPr>
                <w:rFonts w:hint="eastAsia" w:ascii="宋体" w:hAnsi="宋体" w:cs="宋体"/>
                <w:i w:val="0"/>
                <w:iCs w:val="0"/>
                <w:color w:val="000000"/>
                <w:kern w:val="0"/>
                <w:sz w:val="20"/>
                <w:szCs w:val="20"/>
                <w:highlight w:val="none"/>
                <w:u w:val="none"/>
                <w:lang w:val="en-US" w:eastAsia="zh-CN" w:bidi="ar"/>
              </w:rPr>
              <w:t>（</w:t>
            </w:r>
            <w:r>
              <w:rPr>
                <w:rFonts w:ascii="宋体" w:hAnsi="宋体" w:eastAsia="宋体" w:cs="宋体"/>
                <w:i w:val="0"/>
                <w:iCs w:val="0"/>
                <w:color w:val="000000"/>
                <w:kern w:val="0"/>
                <w:sz w:val="20"/>
                <w:szCs w:val="20"/>
                <w:highlight w:val="none"/>
                <w:u w:val="none"/>
                <w:lang w:val="en-US" w:eastAsia="zh-CN" w:bidi="ar"/>
              </w:rPr>
              <w:t>依据党工委、管委会发文</w:t>
            </w:r>
            <w:r>
              <w:rPr>
                <w:rFonts w:hint="eastAsia" w:ascii="宋体" w:hAnsi="宋体" w:cs="宋体"/>
                <w:i w:val="0"/>
                <w:iCs w:val="0"/>
                <w:color w:val="000000"/>
                <w:kern w:val="0"/>
                <w:sz w:val="20"/>
                <w:szCs w:val="20"/>
                <w:highlight w:val="none"/>
                <w:u w:val="none"/>
                <w:lang w:val="en-US" w:eastAsia="zh-CN" w:bidi="ar"/>
              </w:rPr>
              <w:t>）</w:t>
            </w:r>
          </w:p>
        </w:tc>
      </w:tr>
      <w:tr w14:paraId="0FBA4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3C59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11</w:t>
            </w:r>
          </w:p>
        </w:tc>
        <w:tc>
          <w:tcPr>
            <w:tcW w:w="5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E084D4">
            <w:pPr>
              <w:keepNext w:val="0"/>
              <w:keepLines w:val="0"/>
              <w:widowControl/>
              <w:suppressLineNumbers w:val="0"/>
              <w:jc w:val="center"/>
              <w:textAlignment w:val="center"/>
              <w:rPr>
                <w:rFonts w:hint="default" w:ascii="Arial" w:hAnsi="Arial" w:eastAsia="宋体" w:cs="Arial"/>
                <w:i w:val="0"/>
                <w:iCs w:val="0"/>
                <w:color w:val="000000"/>
                <w:sz w:val="20"/>
                <w:szCs w:val="20"/>
                <w:highlight w:val="none"/>
                <w:u w:val="none"/>
              </w:rPr>
            </w:pPr>
            <w:r>
              <w:rPr>
                <w:rFonts w:hint="default" w:ascii="Arial" w:hAnsi="Arial" w:eastAsia="宋体" w:cs="Arial"/>
                <w:i w:val="0"/>
                <w:iCs w:val="0"/>
                <w:color w:val="000000"/>
                <w:kern w:val="0"/>
                <w:sz w:val="20"/>
                <w:szCs w:val="20"/>
                <w:highlight w:val="none"/>
                <w:u w:val="none"/>
                <w:lang w:val="en-US" w:eastAsia="zh-CN" w:bidi="ar"/>
              </w:rPr>
              <w:t>党建指标</w:t>
            </w:r>
          </w:p>
        </w:tc>
        <w:tc>
          <w:tcPr>
            <w:tcW w:w="4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55170">
            <w:pPr>
              <w:keepNext w:val="0"/>
              <w:keepLines w:val="0"/>
              <w:widowControl/>
              <w:suppressLineNumbers w:val="0"/>
              <w:jc w:val="left"/>
              <w:textAlignment w:val="center"/>
              <w:rPr>
                <w:rFonts w:hint="default" w:ascii="Arial" w:hAnsi="Arial" w:eastAsia="宋体" w:cs="Arial"/>
                <w:i w:val="0"/>
                <w:iCs w:val="0"/>
                <w:color w:val="000000"/>
                <w:sz w:val="20"/>
                <w:szCs w:val="20"/>
                <w:highlight w:val="none"/>
                <w:u w:val="none"/>
              </w:rPr>
            </w:pPr>
            <w:r>
              <w:rPr>
                <w:rFonts w:ascii="宋体" w:hAnsi="宋体" w:eastAsia="宋体" w:cs="宋体"/>
                <w:i w:val="0"/>
                <w:iCs w:val="0"/>
                <w:color w:val="000000"/>
                <w:kern w:val="0"/>
                <w:sz w:val="20"/>
                <w:szCs w:val="20"/>
                <w:highlight w:val="none"/>
                <w:u w:val="none"/>
                <w:lang w:val="en-US" w:eastAsia="zh-CN" w:bidi="ar"/>
              </w:rPr>
              <w:t>主要考核支部全面从严治党情况，包括贯彻支部条例情况、“三会一课”组织生活和党风廉政建设情况等。</w:t>
            </w:r>
          </w:p>
        </w:tc>
      </w:tr>
      <w:tr w14:paraId="0F1DD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A4018">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12</w:t>
            </w:r>
          </w:p>
        </w:tc>
        <w:tc>
          <w:tcPr>
            <w:tcW w:w="5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AA8CF">
            <w:pPr>
              <w:keepNext w:val="0"/>
              <w:keepLines w:val="0"/>
              <w:widowControl/>
              <w:suppressLineNumbers w:val="0"/>
              <w:jc w:val="center"/>
              <w:textAlignment w:val="center"/>
              <w:rPr>
                <w:rFonts w:hint="default" w:ascii="Arial" w:hAnsi="Arial" w:eastAsia="宋体" w:cs="Arial"/>
                <w:i w:val="0"/>
                <w:iCs w:val="0"/>
                <w:color w:val="000000"/>
                <w:sz w:val="20"/>
                <w:szCs w:val="20"/>
                <w:highlight w:val="none"/>
                <w:u w:val="none"/>
              </w:rPr>
            </w:pPr>
            <w:r>
              <w:rPr>
                <w:rFonts w:hint="default" w:ascii="Arial" w:hAnsi="Arial" w:eastAsia="宋体" w:cs="Arial"/>
                <w:i w:val="0"/>
                <w:iCs w:val="0"/>
                <w:color w:val="000000"/>
                <w:kern w:val="0"/>
                <w:sz w:val="20"/>
                <w:szCs w:val="20"/>
                <w:highlight w:val="none"/>
                <w:u w:val="none"/>
                <w:lang w:val="en-US" w:eastAsia="zh-CN" w:bidi="ar"/>
              </w:rPr>
              <w:t>优质服务指标</w:t>
            </w:r>
          </w:p>
        </w:tc>
        <w:tc>
          <w:tcPr>
            <w:tcW w:w="4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C4AEF">
            <w:pPr>
              <w:keepNext w:val="0"/>
              <w:keepLines w:val="0"/>
              <w:widowControl/>
              <w:suppressLineNumbers w:val="0"/>
              <w:jc w:val="left"/>
              <w:textAlignment w:val="center"/>
              <w:rPr>
                <w:rFonts w:hint="default" w:ascii="Arial" w:hAnsi="Arial" w:eastAsia="宋体" w:cs="Arial"/>
                <w:i w:val="0"/>
                <w:iCs w:val="0"/>
                <w:color w:val="000000"/>
                <w:sz w:val="20"/>
                <w:szCs w:val="20"/>
                <w:highlight w:val="none"/>
                <w:u w:val="none"/>
              </w:rPr>
            </w:pPr>
            <w:r>
              <w:rPr>
                <w:rFonts w:ascii="宋体" w:hAnsi="宋体" w:eastAsia="宋体" w:cs="宋体"/>
                <w:i w:val="0"/>
                <w:iCs w:val="0"/>
                <w:color w:val="000000"/>
                <w:kern w:val="0"/>
                <w:sz w:val="20"/>
                <w:szCs w:val="20"/>
                <w:highlight w:val="none"/>
                <w:u w:val="none"/>
                <w:lang w:val="en-US" w:eastAsia="zh-CN" w:bidi="ar"/>
              </w:rPr>
              <w:t>改进工作作风、提升服务质量，实行日常考核测评与入区企业、服务对象、班子成员集中评价相结合。</w:t>
            </w:r>
            <w:r>
              <w:rPr>
                <w:rFonts w:hint="eastAsia" w:ascii="宋体" w:hAnsi="宋体" w:cs="宋体"/>
                <w:i w:val="0"/>
                <w:iCs w:val="0"/>
                <w:color w:val="000000"/>
                <w:kern w:val="0"/>
                <w:sz w:val="20"/>
                <w:szCs w:val="20"/>
                <w:highlight w:val="none"/>
                <w:u w:val="none"/>
                <w:lang w:val="en-US" w:eastAsia="zh-CN" w:bidi="ar"/>
              </w:rPr>
              <w:t>（</w:t>
            </w:r>
            <w:r>
              <w:rPr>
                <w:rFonts w:ascii="宋体" w:hAnsi="宋体" w:eastAsia="宋体" w:cs="宋体"/>
                <w:i w:val="0"/>
                <w:iCs w:val="0"/>
                <w:color w:val="000000"/>
                <w:kern w:val="0"/>
                <w:sz w:val="20"/>
                <w:szCs w:val="20"/>
                <w:highlight w:val="none"/>
                <w:u w:val="none"/>
                <w:lang w:val="en-US" w:eastAsia="zh-CN" w:bidi="ar"/>
              </w:rPr>
              <w:t>由考核办统一评分</w:t>
            </w:r>
            <w:r>
              <w:rPr>
                <w:rFonts w:hint="eastAsia" w:ascii="宋体" w:hAnsi="宋体" w:cs="宋体"/>
                <w:i w:val="0"/>
                <w:iCs w:val="0"/>
                <w:color w:val="000000"/>
                <w:kern w:val="0"/>
                <w:sz w:val="20"/>
                <w:szCs w:val="20"/>
                <w:highlight w:val="none"/>
                <w:u w:val="none"/>
                <w:lang w:val="en-US" w:eastAsia="zh-CN" w:bidi="ar"/>
              </w:rPr>
              <w:t>）</w:t>
            </w:r>
          </w:p>
        </w:tc>
      </w:tr>
    </w:tbl>
    <w:p w14:paraId="59A9EE11">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eastAsia="仿宋_GB2312"/>
          <w:b/>
          <w:bCs/>
          <w:sz w:val="32"/>
          <w:szCs w:val="32"/>
          <w:highlight w:val="none"/>
        </w:rPr>
      </w:pPr>
      <w:r>
        <w:rPr>
          <w:rFonts w:hint="eastAsia" w:eastAsia="仿宋_GB2312"/>
          <w:b/>
          <w:bCs/>
          <w:sz w:val="32"/>
          <w:szCs w:val="32"/>
          <w:highlight w:val="none"/>
          <w:lang w:eastAsia="zh-CN"/>
        </w:rPr>
        <w:t>（</w:t>
      </w:r>
      <w:r>
        <w:rPr>
          <w:rFonts w:hint="eastAsia" w:eastAsia="仿宋_GB2312"/>
          <w:b/>
          <w:bCs/>
          <w:sz w:val="32"/>
          <w:szCs w:val="32"/>
          <w:highlight w:val="none"/>
          <w:lang w:val="en-US" w:eastAsia="zh-CN"/>
        </w:rPr>
        <w:t>2）</w:t>
      </w:r>
      <w:r>
        <w:rPr>
          <w:rFonts w:hint="eastAsia" w:eastAsia="仿宋_GB2312"/>
          <w:b/>
          <w:bCs/>
          <w:sz w:val="32"/>
          <w:szCs w:val="32"/>
          <w:highlight w:val="none"/>
        </w:rPr>
        <w:t>重点项目目标</w:t>
      </w:r>
    </w:p>
    <w:p w14:paraId="40A5FCB3">
      <w:pPr>
        <w:keepNext w:val="0"/>
        <w:keepLines w:val="0"/>
        <w:pageBreakBefore w:val="0"/>
        <w:widowControl w:val="0"/>
        <w:kinsoku/>
        <w:wordWrap/>
        <w:topLinePunct w:val="0"/>
        <w:bidi w:val="0"/>
        <w:spacing w:line="360" w:lineRule="auto"/>
        <w:ind w:firstLine="640" w:firstLineChars="200"/>
        <w:jc w:val="both"/>
        <w:rPr>
          <w:rFonts w:hint="eastAsia" w:eastAsia="仿宋_GB2312"/>
          <w:sz w:val="32"/>
          <w:szCs w:val="32"/>
          <w:highlight w:val="none"/>
        </w:rPr>
      </w:pPr>
      <w:r>
        <w:rPr>
          <w:rFonts w:hint="eastAsia" w:eastAsia="仿宋_GB2312"/>
          <w:sz w:val="32"/>
          <w:szCs w:val="32"/>
          <w:highlight w:val="none"/>
        </w:rPr>
        <w:t>通过对202</w:t>
      </w:r>
      <w:r>
        <w:rPr>
          <w:rFonts w:hint="eastAsia" w:eastAsia="仿宋_GB2312"/>
          <w:sz w:val="32"/>
          <w:szCs w:val="32"/>
          <w:highlight w:val="none"/>
          <w:lang w:val="en-US" w:eastAsia="zh-CN"/>
        </w:rPr>
        <w:t>3</w:t>
      </w:r>
      <w:r>
        <w:rPr>
          <w:rFonts w:hint="eastAsia" w:eastAsia="仿宋_GB2312"/>
          <w:sz w:val="32"/>
          <w:szCs w:val="32"/>
          <w:highlight w:val="none"/>
        </w:rPr>
        <w:t>年度项目进行梳理，共形成</w:t>
      </w:r>
      <w:r>
        <w:rPr>
          <w:rFonts w:hint="eastAsia" w:eastAsia="仿宋_GB2312"/>
          <w:sz w:val="32"/>
          <w:szCs w:val="32"/>
          <w:highlight w:val="none"/>
          <w:lang w:val="en-US" w:eastAsia="zh-CN"/>
        </w:rPr>
        <w:t>5</w:t>
      </w:r>
      <w:r>
        <w:rPr>
          <w:rFonts w:hint="eastAsia" w:eastAsia="仿宋_GB2312"/>
          <w:sz w:val="32"/>
          <w:szCs w:val="32"/>
          <w:highlight w:val="none"/>
        </w:rPr>
        <w:t>个类型重点项目目标。具体项目目标如下：</w:t>
      </w:r>
    </w:p>
    <w:p w14:paraId="17F8FBE8">
      <w:pPr>
        <w:keepNext w:val="0"/>
        <w:keepLines w:val="0"/>
        <w:pageBreakBefore w:val="0"/>
        <w:widowControl w:val="0"/>
        <w:kinsoku/>
        <w:wordWrap/>
        <w:overflowPunct w:val="0"/>
        <w:topLinePunct w:val="0"/>
        <w:autoSpaceDE/>
        <w:autoSpaceDN/>
        <w:bidi w:val="0"/>
        <w:adjustRightInd/>
        <w:snapToGrid/>
        <w:spacing w:line="360" w:lineRule="auto"/>
        <w:ind w:firstLine="640" w:firstLineChars="200"/>
        <w:jc w:val="both"/>
        <w:textAlignment w:val="auto"/>
        <w:rPr>
          <w:rFonts w:hint="default" w:eastAsia="仿宋_GB2312"/>
          <w:sz w:val="32"/>
          <w:szCs w:val="32"/>
          <w:highlight w:val="none"/>
          <w:lang w:val="en-US" w:eastAsia="zh-CN"/>
        </w:rPr>
      </w:pPr>
      <w:r>
        <w:rPr>
          <w:rFonts w:hint="eastAsia" w:eastAsia="仿宋_GB2312"/>
          <w:sz w:val="32"/>
          <w:szCs w:val="32"/>
          <w:highlight w:val="none"/>
          <w:lang w:val="en-US" w:eastAsia="zh-CN"/>
        </w:rPr>
        <w:t>①完成开发区创卫工作。主要包括：更换安装隧道灯39组、安装道路牌数量151个、铺设树篦6398个；更换路灯数量1600盏。</w:t>
      </w:r>
    </w:p>
    <w:p w14:paraId="0690B718">
      <w:pPr>
        <w:keepNext w:val="0"/>
        <w:keepLines w:val="0"/>
        <w:pageBreakBefore w:val="0"/>
        <w:widowControl w:val="0"/>
        <w:kinsoku/>
        <w:wordWrap/>
        <w:overflowPunct w:val="0"/>
        <w:topLinePunct w:val="0"/>
        <w:autoSpaceDE/>
        <w:autoSpaceDN/>
        <w:bidi w:val="0"/>
        <w:adjustRightInd/>
        <w:snapToGrid/>
        <w:spacing w:line="360" w:lineRule="auto"/>
        <w:ind w:firstLine="640" w:firstLineChars="200"/>
        <w:jc w:val="both"/>
        <w:textAlignment w:val="auto"/>
        <w:rPr>
          <w:rFonts w:hint="eastAsia" w:eastAsia="仿宋_GB2312"/>
          <w:sz w:val="32"/>
          <w:szCs w:val="32"/>
          <w:highlight w:val="none"/>
          <w:lang w:eastAsia="zh-CN"/>
        </w:rPr>
      </w:pPr>
      <w:r>
        <w:rPr>
          <w:rFonts w:hint="eastAsia" w:eastAsia="仿宋_GB2312"/>
          <w:sz w:val="32"/>
          <w:szCs w:val="32"/>
          <w:highlight w:val="none"/>
          <w:lang w:val="en-US" w:eastAsia="zh-CN"/>
        </w:rPr>
        <w:t>②完成开发区绿化养护工作。主要包括：在辖区内</w:t>
      </w:r>
      <w:r>
        <w:rPr>
          <w:rFonts w:hint="eastAsia" w:ascii="Times New Roman" w:hAnsi="Times New Roman" w:eastAsia="仿宋_GB2312" w:cs="Times New Roman"/>
          <w:sz w:val="32"/>
          <w:szCs w:val="32"/>
          <w:highlight w:val="none"/>
        </w:rPr>
        <w:t>34条</w:t>
      </w:r>
      <w:r>
        <w:rPr>
          <w:rFonts w:ascii="Times New Roman" w:hAnsi="Times New Roman" w:eastAsia="仿宋_GB2312" w:cs="Times New Roman"/>
          <w:sz w:val="32"/>
          <w:szCs w:val="32"/>
          <w:highlight w:val="none"/>
        </w:rPr>
        <w:t>街巷实施园林绿化管养</w:t>
      </w:r>
      <w:r>
        <w:rPr>
          <w:rFonts w:hint="eastAsia" w:ascii="Times New Roman" w:hAnsi="Times New Roman" w:eastAsia="仿宋_GB2312" w:cs="Times New Roman"/>
          <w:sz w:val="32"/>
          <w:szCs w:val="32"/>
          <w:highlight w:val="none"/>
          <w:lang w:val="en-US" w:eastAsia="zh-CN"/>
        </w:rPr>
        <w:t>工作，</w:t>
      </w:r>
      <w:r>
        <w:rPr>
          <w:rFonts w:ascii="Times New Roman" w:hAnsi="Times New Roman" w:eastAsia="仿宋_GB2312" w:cs="Times New Roman"/>
          <w:sz w:val="32"/>
          <w:szCs w:val="32"/>
          <w:highlight w:val="none"/>
        </w:rPr>
        <w:t>养护面积27</w:t>
      </w:r>
      <w:r>
        <w:rPr>
          <w:rFonts w:hint="eastAsia" w:ascii="Times New Roman" w:hAnsi="Times New Roman" w:eastAsia="仿宋_GB2312" w:cs="Times New Roman"/>
          <w:sz w:val="32"/>
          <w:szCs w:val="32"/>
          <w:highlight w:val="none"/>
          <w:lang w:val="en-US" w:eastAsia="zh-CN"/>
        </w:rPr>
        <w:t>.</w:t>
      </w:r>
      <w:r>
        <w:rPr>
          <w:rFonts w:ascii="Times New Roman" w:hAnsi="Times New Roman" w:eastAsia="仿宋_GB2312" w:cs="Times New Roman"/>
          <w:sz w:val="32"/>
          <w:szCs w:val="32"/>
          <w:highlight w:val="none"/>
        </w:rPr>
        <w:t>48</w:t>
      </w:r>
      <w:r>
        <w:rPr>
          <w:rFonts w:hint="eastAsia" w:ascii="Times New Roman" w:hAnsi="Times New Roman" w:eastAsia="仿宋_GB2312" w:cs="Times New Roman"/>
          <w:sz w:val="32"/>
          <w:szCs w:val="32"/>
          <w:highlight w:val="none"/>
          <w:lang w:val="en-US" w:eastAsia="zh-CN"/>
        </w:rPr>
        <w:t>万</w:t>
      </w:r>
      <w:r>
        <w:rPr>
          <w:rFonts w:ascii="Times New Roman" w:hAnsi="Times New Roman" w:eastAsia="仿宋_GB2312" w:cs="Times New Roman"/>
          <w:sz w:val="32"/>
          <w:szCs w:val="32"/>
          <w:highlight w:val="none"/>
        </w:rPr>
        <w:t>m</w:t>
      </w:r>
      <w:r>
        <w:rPr>
          <w:rFonts w:ascii="Times New Roman" w:hAnsi="Times New Roman" w:eastAsia="仿宋_GB2312" w:cs="Times New Roman"/>
          <w:sz w:val="32"/>
          <w:szCs w:val="32"/>
          <w:highlight w:val="none"/>
          <w:vertAlign w:val="superscript"/>
        </w:rPr>
        <w:t>2</w:t>
      </w:r>
      <w:r>
        <w:rPr>
          <w:rFonts w:hint="eastAsia" w:eastAsia="仿宋_GB2312"/>
          <w:sz w:val="32"/>
          <w:szCs w:val="32"/>
          <w:highlight w:val="none"/>
          <w:lang w:eastAsia="zh-CN"/>
        </w:rPr>
        <w:t>。</w:t>
      </w:r>
    </w:p>
    <w:p w14:paraId="366E7935">
      <w:pPr>
        <w:keepNext w:val="0"/>
        <w:keepLines w:val="0"/>
        <w:pageBreakBefore w:val="0"/>
        <w:widowControl w:val="0"/>
        <w:kinsoku/>
        <w:wordWrap/>
        <w:overflowPunct w:val="0"/>
        <w:topLinePunct w:val="0"/>
        <w:autoSpaceDE/>
        <w:autoSpaceDN/>
        <w:bidi w:val="0"/>
        <w:adjustRightInd/>
        <w:snapToGrid/>
        <w:spacing w:line="360" w:lineRule="auto"/>
        <w:ind w:firstLine="640" w:firstLineChars="200"/>
        <w:jc w:val="both"/>
        <w:textAlignment w:val="auto"/>
        <w:rPr>
          <w:rFonts w:hint="default" w:eastAsia="仿宋_GB2312"/>
          <w:sz w:val="32"/>
          <w:szCs w:val="32"/>
          <w:highlight w:val="none"/>
          <w:lang w:val="en-US" w:eastAsia="zh-CN"/>
        </w:rPr>
      </w:pPr>
      <w:r>
        <w:rPr>
          <w:rFonts w:hint="eastAsia" w:eastAsia="仿宋_GB2312"/>
          <w:sz w:val="32"/>
          <w:szCs w:val="32"/>
          <w:highlight w:val="none"/>
          <w:lang w:val="en-US" w:eastAsia="zh-CN"/>
        </w:rPr>
        <w:t>③完成开发区道路改造及绿化补栽工程，主要包括：栽植绿化面积8023.59㎡、栽植苗木128.08㎡，并完成挡土墙加高、路面硬化等相关配套工程。</w:t>
      </w:r>
    </w:p>
    <w:p w14:paraId="4898DCFB">
      <w:pPr>
        <w:keepNext w:val="0"/>
        <w:keepLines w:val="0"/>
        <w:pageBreakBefore w:val="0"/>
        <w:widowControl w:val="0"/>
        <w:kinsoku/>
        <w:wordWrap/>
        <w:overflowPunct w:val="0"/>
        <w:topLinePunct w:val="0"/>
        <w:autoSpaceDE/>
        <w:autoSpaceDN/>
        <w:bidi w:val="0"/>
        <w:adjustRightInd/>
        <w:snapToGrid/>
        <w:spacing w:line="360" w:lineRule="auto"/>
        <w:ind w:firstLine="640" w:firstLineChars="200"/>
        <w:jc w:val="both"/>
        <w:textAlignment w:val="auto"/>
        <w:rPr>
          <w:rFonts w:hint="default" w:eastAsia="仿宋_GB2312"/>
          <w:sz w:val="32"/>
          <w:szCs w:val="32"/>
          <w:highlight w:val="none"/>
          <w:lang w:val="en-US" w:eastAsia="zh-CN"/>
        </w:rPr>
      </w:pPr>
      <w:r>
        <w:rPr>
          <w:rFonts w:hint="eastAsia" w:eastAsia="仿宋_GB2312"/>
          <w:sz w:val="32"/>
          <w:szCs w:val="32"/>
          <w:highlight w:val="none"/>
          <w:lang w:val="en-US" w:eastAsia="zh-CN"/>
        </w:rPr>
        <w:t>④完成区域内环卫清洁工作。主要包括：环卫打扫面积95万㎡、工作人员数量183人。</w:t>
      </w:r>
    </w:p>
    <w:p w14:paraId="7CB86A0A">
      <w:pPr>
        <w:keepNext w:val="0"/>
        <w:keepLines w:val="0"/>
        <w:pageBreakBefore w:val="0"/>
        <w:widowControl w:val="0"/>
        <w:kinsoku/>
        <w:wordWrap/>
        <w:overflowPunct w:val="0"/>
        <w:topLinePunct w:val="0"/>
        <w:autoSpaceDE/>
        <w:autoSpaceDN/>
        <w:bidi w:val="0"/>
        <w:adjustRightInd/>
        <w:snapToGrid/>
        <w:spacing w:line="360" w:lineRule="auto"/>
        <w:ind w:firstLine="640" w:firstLineChars="200"/>
        <w:jc w:val="both"/>
        <w:textAlignment w:val="auto"/>
        <w:rPr>
          <w:rFonts w:hint="default"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⑤完成化工园区认定相关前期工作。主要包括：突发环境事件应急预案编制15份、消防专项规划设计8份、总体规划编制8套、一体化信息管理平台1个；</w:t>
      </w:r>
    </w:p>
    <w:p w14:paraId="2E383622">
      <w:pPr>
        <w:keepNext w:val="0"/>
        <w:keepLines w:val="0"/>
        <w:pageBreakBefore w:val="0"/>
        <w:widowControl w:val="0"/>
        <w:kinsoku/>
        <w:wordWrap/>
        <w:overflowPunct w:val="0"/>
        <w:topLinePunct w:val="0"/>
        <w:autoSpaceDE/>
        <w:autoSpaceDN/>
        <w:bidi w:val="0"/>
        <w:adjustRightInd/>
        <w:snapToGrid/>
        <w:spacing w:line="360" w:lineRule="auto"/>
        <w:ind w:firstLine="643" w:firstLineChars="200"/>
        <w:jc w:val="both"/>
        <w:textAlignment w:val="auto"/>
        <w:rPr>
          <w:rFonts w:ascii="仿宋_GB2312" w:hAnsi="仿宋_GB2312" w:eastAsia="仿宋_GB2312" w:cs="仿宋_GB2312"/>
          <w:bCs/>
          <w:color w:val="000000"/>
          <w:sz w:val="32"/>
          <w:szCs w:val="32"/>
          <w:highlight w:val="none"/>
        </w:rPr>
      </w:pPr>
      <w:r>
        <w:rPr>
          <w:rFonts w:hint="eastAsia" w:ascii="仿宋_GB2312" w:hAnsi="仿宋_GB2312" w:eastAsia="仿宋_GB2312" w:cs="仿宋_GB2312"/>
          <w:b/>
          <w:bCs/>
          <w:sz w:val="32"/>
          <w:szCs w:val="32"/>
          <w:highlight w:val="none"/>
        </w:rPr>
        <w:t>（</w:t>
      </w:r>
      <w:r>
        <w:rPr>
          <w:rFonts w:hint="eastAsia" w:eastAsia="仿宋_GB2312" w:cs="仿宋_GB2312"/>
          <w:b/>
          <w:bCs/>
          <w:sz w:val="32"/>
          <w:szCs w:val="32"/>
          <w:highlight w:val="none"/>
        </w:rPr>
        <w:t>3</w:t>
      </w:r>
      <w:r>
        <w:rPr>
          <w:rFonts w:hint="eastAsia" w:ascii="仿宋_GB2312" w:hAnsi="仿宋_GB2312" w:eastAsia="仿宋_GB2312" w:cs="仿宋_GB2312"/>
          <w:b/>
          <w:bCs/>
          <w:sz w:val="32"/>
          <w:szCs w:val="32"/>
          <w:highlight w:val="none"/>
        </w:rPr>
        <w:t>）经济社会效益目标</w:t>
      </w:r>
    </w:p>
    <w:p w14:paraId="2E12CECD">
      <w:pPr>
        <w:keepNext w:val="0"/>
        <w:keepLines w:val="0"/>
        <w:pageBreakBefore w:val="0"/>
        <w:widowControl w:val="0"/>
        <w:kinsoku/>
        <w:wordWrap/>
        <w:overflowPunct w:val="0"/>
        <w:topLinePunct w:val="0"/>
        <w:autoSpaceDE/>
        <w:autoSpaceDN/>
        <w:bidi w:val="0"/>
        <w:adjustRightInd/>
        <w:snapToGrid/>
        <w:spacing w:line="360" w:lineRule="auto"/>
        <w:ind w:firstLine="640" w:firstLineChars="200"/>
        <w:jc w:val="both"/>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①</w:t>
      </w:r>
      <w:r>
        <w:rPr>
          <w:rFonts w:hint="eastAsia" w:eastAsia="仿宋_GB2312"/>
          <w:sz w:val="32"/>
          <w:szCs w:val="32"/>
          <w:highlight w:val="none"/>
          <w:lang w:val="en-US" w:eastAsia="zh-CN"/>
        </w:rPr>
        <w:t>保障园区工程安全质量</w:t>
      </w:r>
      <w:r>
        <w:rPr>
          <w:rFonts w:hint="eastAsia" w:ascii="Times New Roman" w:hAnsi="Times New Roman" w:eastAsia="仿宋_GB2312"/>
          <w:sz w:val="32"/>
          <w:szCs w:val="32"/>
          <w:highlight w:val="none"/>
        </w:rPr>
        <w:t>；</w:t>
      </w:r>
    </w:p>
    <w:p w14:paraId="56132DC2">
      <w:pPr>
        <w:keepNext w:val="0"/>
        <w:keepLines w:val="0"/>
        <w:pageBreakBefore w:val="0"/>
        <w:widowControl w:val="0"/>
        <w:kinsoku/>
        <w:wordWrap/>
        <w:topLinePunct w:val="0"/>
        <w:bidi w:val="0"/>
        <w:spacing w:line="360" w:lineRule="auto"/>
        <w:ind w:firstLine="640" w:firstLineChars="200"/>
        <w:jc w:val="both"/>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②</w:t>
      </w:r>
      <w:r>
        <w:rPr>
          <w:rFonts w:hint="eastAsia" w:eastAsia="仿宋_GB2312"/>
          <w:sz w:val="32"/>
          <w:szCs w:val="32"/>
          <w:highlight w:val="none"/>
          <w:lang w:val="en-US" w:eastAsia="zh-CN"/>
        </w:rPr>
        <w:t>保障园区空气质量</w:t>
      </w:r>
      <w:r>
        <w:rPr>
          <w:rFonts w:ascii="Times New Roman" w:hAnsi="Times New Roman" w:eastAsia="仿宋_GB2312"/>
          <w:sz w:val="32"/>
          <w:szCs w:val="32"/>
          <w:highlight w:val="none"/>
        </w:rPr>
        <w:t>；</w:t>
      </w:r>
    </w:p>
    <w:p w14:paraId="2D525B4E">
      <w:pPr>
        <w:keepNext w:val="0"/>
        <w:keepLines w:val="0"/>
        <w:pageBreakBefore w:val="0"/>
        <w:widowControl w:val="0"/>
        <w:kinsoku/>
        <w:wordWrap/>
        <w:topLinePunct w:val="0"/>
        <w:bidi w:val="0"/>
        <w:spacing w:line="360" w:lineRule="auto"/>
        <w:ind w:firstLine="640" w:firstLineChars="200"/>
        <w:jc w:val="both"/>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③</w:t>
      </w:r>
      <w:r>
        <w:rPr>
          <w:rFonts w:hint="eastAsia" w:eastAsia="仿宋_GB2312"/>
          <w:sz w:val="32"/>
          <w:szCs w:val="32"/>
          <w:highlight w:val="none"/>
          <w:lang w:val="en-US" w:eastAsia="zh-CN"/>
        </w:rPr>
        <w:t>推动城市整体形象</w:t>
      </w:r>
      <w:r>
        <w:rPr>
          <w:rFonts w:hint="eastAsia" w:ascii="Times New Roman" w:hAnsi="Times New Roman" w:eastAsia="仿宋_GB2312"/>
          <w:sz w:val="32"/>
          <w:szCs w:val="32"/>
          <w:highlight w:val="none"/>
        </w:rPr>
        <w:t>；</w:t>
      </w:r>
    </w:p>
    <w:p w14:paraId="06C0C39A">
      <w:pPr>
        <w:keepNext w:val="0"/>
        <w:keepLines w:val="0"/>
        <w:pageBreakBefore w:val="0"/>
        <w:widowControl w:val="0"/>
        <w:kinsoku/>
        <w:wordWrap/>
        <w:topLinePunct w:val="0"/>
        <w:bidi w:val="0"/>
        <w:spacing w:line="360" w:lineRule="auto"/>
        <w:ind w:firstLine="640" w:firstLineChars="200"/>
        <w:jc w:val="both"/>
        <w:rPr>
          <w:rFonts w:hint="eastAsia" w:ascii="Times New Roman" w:hAnsi="Times New Roman" w:eastAsia="仿宋_GB2312"/>
          <w:bCs/>
          <w:color w:val="000000"/>
          <w:sz w:val="32"/>
          <w:szCs w:val="32"/>
          <w:highlight w:val="none"/>
          <w:lang w:eastAsia="zh-CN"/>
        </w:rPr>
      </w:pPr>
      <w:r>
        <w:rPr>
          <w:rFonts w:hint="eastAsia" w:eastAsia="仿宋_GB2312"/>
          <w:bCs/>
          <w:color w:val="000000"/>
          <w:sz w:val="32"/>
          <w:szCs w:val="32"/>
          <w:highlight w:val="none"/>
          <w:lang w:val="en-US" w:eastAsia="zh-CN"/>
        </w:rPr>
        <w:t>④</w:t>
      </w:r>
      <w:r>
        <w:rPr>
          <w:rFonts w:hint="eastAsia" w:ascii="Times New Roman" w:hAnsi="Times New Roman" w:eastAsia="仿宋_GB2312"/>
          <w:bCs/>
          <w:color w:val="000000"/>
          <w:sz w:val="32"/>
          <w:szCs w:val="32"/>
          <w:highlight w:val="none"/>
        </w:rPr>
        <w:t>管理体制机制改革成效</w:t>
      </w:r>
      <w:r>
        <w:rPr>
          <w:rFonts w:hint="eastAsia" w:ascii="Times New Roman" w:hAnsi="Times New Roman" w:eastAsia="仿宋_GB2312"/>
          <w:bCs/>
          <w:color w:val="000000"/>
          <w:sz w:val="32"/>
          <w:szCs w:val="32"/>
          <w:highlight w:val="none"/>
          <w:lang w:val="en-US" w:eastAsia="zh-CN"/>
        </w:rPr>
        <w:t>明显</w:t>
      </w:r>
      <w:r>
        <w:rPr>
          <w:rFonts w:hint="eastAsia" w:ascii="Times New Roman" w:hAnsi="Times New Roman" w:eastAsia="仿宋_GB2312"/>
          <w:bCs/>
          <w:color w:val="000000"/>
          <w:sz w:val="32"/>
          <w:szCs w:val="32"/>
          <w:highlight w:val="none"/>
          <w:lang w:eastAsia="zh-CN"/>
        </w:rPr>
        <w:t>；</w:t>
      </w:r>
    </w:p>
    <w:p w14:paraId="23509181">
      <w:pPr>
        <w:keepNext w:val="0"/>
        <w:keepLines w:val="0"/>
        <w:pageBreakBefore w:val="0"/>
        <w:widowControl w:val="0"/>
        <w:kinsoku/>
        <w:wordWrap/>
        <w:topLinePunct w:val="0"/>
        <w:bidi w:val="0"/>
        <w:spacing w:line="360" w:lineRule="auto"/>
        <w:ind w:firstLine="640" w:firstLineChars="200"/>
        <w:jc w:val="both"/>
        <w:rPr>
          <w:rFonts w:hint="eastAsia" w:ascii="Times New Roman" w:hAnsi="Times New Roman" w:eastAsia="仿宋_GB2312" w:cs="仿宋_GB2312"/>
          <w:bCs/>
          <w:color w:val="000000"/>
          <w:sz w:val="32"/>
          <w:szCs w:val="32"/>
          <w:highlight w:val="none"/>
          <w:lang w:val="en-US" w:eastAsia="zh-CN"/>
        </w:rPr>
      </w:pPr>
      <w:r>
        <w:rPr>
          <w:rFonts w:hint="eastAsia" w:eastAsia="仿宋_GB2312" w:cs="仿宋_GB2312"/>
          <w:bCs/>
          <w:color w:val="000000"/>
          <w:sz w:val="32"/>
          <w:szCs w:val="32"/>
          <w:highlight w:val="none"/>
          <w:lang w:val="en-US" w:eastAsia="zh-CN"/>
        </w:rPr>
        <w:t>⑤</w:t>
      </w:r>
      <w:r>
        <w:rPr>
          <w:rFonts w:hint="eastAsia" w:ascii="Times New Roman" w:hAnsi="Times New Roman" w:eastAsia="仿宋_GB2312" w:cs="仿宋_GB2312"/>
          <w:bCs/>
          <w:color w:val="000000"/>
          <w:sz w:val="32"/>
          <w:szCs w:val="32"/>
          <w:highlight w:val="none"/>
          <w:lang w:val="en-US" w:eastAsia="zh-CN"/>
        </w:rPr>
        <w:t>干部队伍建设和人才培养取得成效；</w:t>
      </w:r>
    </w:p>
    <w:p w14:paraId="557BD824">
      <w:pPr>
        <w:keepNext w:val="0"/>
        <w:keepLines w:val="0"/>
        <w:pageBreakBefore w:val="0"/>
        <w:widowControl w:val="0"/>
        <w:kinsoku/>
        <w:wordWrap/>
        <w:topLinePunct w:val="0"/>
        <w:bidi w:val="0"/>
        <w:spacing w:line="360" w:lineRule="auto"/>
        <w:ind w:firstLine="640" w:firstLineChars="200"/>
        <w:jc w:val="both"/>
        <w:rPr>
          <w:rFonts w:hint="eastAsia" w:ascii="Times New Roman" w:hAnsi="Times New Roman" w:eastAsia="仿宋_GB2312" w:cs="仿宋_GB2312"/>
          <w:bCs/>
          <w:color w:val="000000"/>
          <w:sz w:val="32"/>
          <w:szCs w:val="32"/>
          <w:highlight w:val="none"/>
          <w:lang w:val="en-US" w:eastAsia="zh-CN"/>
        </w:rPr>
      </w:pPr>
      <w:r>
        <w:rPr>
          <w:rFonts w:hint="eastAsia" w:eastAsia="仿宋_GB2312" w:cs="仿宋_GB2312"/>
          <w:bCs/>
          <w:color w:val="000000"/>
          <w:sz w:val="32"/>
          <w:szCs w:val="32"/>
          <w:highlight w:val="none"/>
          <w:lang w:val="en-US" w:eastAsia="zh-CN"/>
        </w:rPr>
        <w:t>⑥</w:t>
      </w:r>
      <w:r>
        <w:rPr>
          <w:rFonts w:hint="eastAsia" w:ascii="Times New Roman" w:hAnsi="Times New Roman" w:eastAsia="仿宋_GB2312" w:cs="仿宋_GB2312"/>
          <w:bCs/>
          <w:color w:val="000000"/>
          <w:sz w:val="32"/>
          <w:szCs w:val="32"/>
          <w:highlight w:val="none"/>
          <w:lang w:val="en-US" w:eastAsia="zh-CN"/>
        </w:rPr>
        <w:t>培养创新发展能力；</w:t>
      </w:r>
    </w:p>
    <w:p w14:paraId="69F455C1">
      <w:pPr>
        <w:keepNext w:val="0"/>
        <w:keepLines w:val="0"/>
        <w:pageBreakBefore w:val="0"/>
        <w:widowControl w:val="0"/>
        <w:kinsoku/>
        <w:wordWrap/>
        <w:topLinePunct w:val="0"/>
        <w:bidi w:val="0"/>
        <w:spacing w:line="360" w:lineRule="auto"/>
        <w:ind w:firstLine="640" w:firstLineChars="200"/>
        <w:jc w:val="both"/>
        <w:rPr>
          <w:rFonts w:hint="eastAsia" w:ascii="Times New Roman" w:hAnsi="Times New Roman" w:eastAsia="仿宋_GB2312" w:cs="仿宋_GB2312"/>
          <w:bCs/>
          <w:color w:val="000000"/>
          <w:sz w:val="32"/>
          <w:szCs w:val="32"/>
          <w:highlight w:val="none"/>
          <w:lang w:val="en-US" w:eastAsia="zh-CN"/>
        </w:rPr>
      </w:pPr>
      <w:r>
        <w:rPr>
          <w:rFonts w:hint="eastAsia" w:eastAsia="仿宋_GB2312" w:cs="仿宋_GB2312"/>
          <w:bCs/>
          <w:color w:val="000000"/>
          <w:sz w:val="32"/>
          <w:szCs w:val="32"/>
          <w:highlight w:val="none"/>
          <w:lang w:val="en-US" w:eastAsia="zh-CN"/>
        </w:rPr>
        <w:t>⑦</w:t>
      </w:r>
      <w:r>
        <w:rPr>
          <w:rFonts w:hint="eastAsia" w:ascii="Times New Roman" w:hAnsi="Times New Roman" w:eastAsia="仿宋_GB2312" w:cs="仿宋_GB2312"/>
          <w:bCs/>
          <w:color w:val="000000"/>
          <w:sz w:val="32"/>
          <w:szCs w:val="32"/>
          <w:highlight w:val="none"/>
          <w:lang w:val="en-US" w:eastAsia="zh-CN"/>
        </w:rPr>
        <w:t>内部工作人员满意度达95%以上；</w:t>
      </w:r>
    </w:p>
    <w:p w14:paraId="63BA7E6A">
      <w:pPr>
        <w:keepNext w:val="0"/>
        <w:keepLines w:val="0"/>
        <w:pageBreakBefore w:val="0"/>
        <w:widowControl w:val="0"/>
        <w:kinsoku/>
        <w:wordWrap/>
        <w:overflowPunct w:val="0"/>
        <w:topLinePunct w:val="0"/>
        <w:bidi w:val="0"/>
        <w:spacing w:line="360" w:lineRule="auto"/>
        <w:ind w:firstLine="640" w:firstLineChars="200"/>
        <w:jc w:val="both"/>
        <w:rPr>
          <w:rFonts w:eastAsia="仿宋_GB2312" w:cs="仿宋_GB2312"/>
          <w:bCs/>
          <w:sz w:val="32"/>
          <w:szCs w:val="32"/>
          <w:highlight w:val="none"/>
        </w:rPr>
      </w:pPr>
      <w:r>
        <w:rPr>
          <w:rFonts w:hint="eastAsia" w:eastAsia="仿宋_GB2312" w:cs="仿宋_GB2312"/>
          <w:bCs/>
          <w:color w:val="000000"/>
          <w:sz w:val="32"/>
          <w:szCs w:val="32"/>
          <w:highlight w:val="none"/>
          <w:lang w:val="en-US" w:eastAsia="zh-CN"/>
        </w:rPr>
        <w:t>⑧</w:t>
      </w:r>
      <w:r>
        <w:rPr>
          <w:rFonts w:hint="eastAsia" w:ascii="Times New Roman" w:hAnsi="Times New Roman" w:eastAsia="仿宋_GB2312" w:cs="仿宋_GB2312"/>
          <w:bCs/>
          <w:color w:val="000000"/>
          <w:sz w:val="32"/>
          <w:szCs w:val="32"/>
          <w:highlight w:val="none"/>
        </w:rPr>
        <w:t>社会公众满意度达</w:t>
      </w:r>
      <w:r>
        <w:rPr>
          <w:rFonts w:hint="default" w:ascii="Times New Roman" w:hAnsi="Times New Roman" w:eastAsia="仿宋_GB2312" w:cs="Times New Roman"/>
          <w:bCs/>
          <w:color w:val="000000"/>
          <w:sz w:val="32"/>
          <w:szCs w:val="32"/>
          <w:highlight w:val="none"/>
        </w:rPr>
        <w:t>95%</w:t>
      </w:r>
      <w:r>
        <w:rPr>
          <w:rFonts w:hint="eastAsia" w:ascii="Times New Roman" w:hAnsi="Times New Roman" w:eastAsia="仿宋_GB2312" w:cs="仿宋_GB2312"/>
          <w:bCs/>
          <w:color w:val="000000"/>
          <w:sz w:val="32"/>
          <w:szCs w:val="32"/>
          <w:highlight w:val="none"/>
        </w:rPr>
        <w:t>及以上。</w:t>
      </w:r>
    </w:p>
    <w:p w14:paraId="3C9DBD3E">
      <w:pPr>
        <w:keepNext w:val="0"/>
        <w:keepLines w:val="0"/>
        <w:pageBreakBefore w:val="0"/>
        <w:widowControl w:val="0"/>
        <w:numPr>
          <w:ilvl w:val="0"/>
          <w:numId w:val="0"/>
        </w:numPr>
        <w:tabs>
          <w:tab w:val="left" w:pos="225"/>
        </w:tabs>
        <w:kinsoku/>
        <w:wordWrap/>
        <w:topLinePunct w:val="0"/>
        <w:bidi w:val="0"/>
        <w:spacing w:line="360" w:lineRule="auto"/>
        <w:ind w:firstLine="640" w:firstLineChars="200"/>
        <w:jc w:val="both"/>
        <w:rPr>
          <w:rFonts w:hint="eastAsia" w:eastAsia="黑体" w:cs="黑体"/>
          <w:bCs/>
          <w:sz w:val="32"/>
          <w:szCs w:val="32"/>
          <w:highlight w:val="none"/>
          <w:lang w:val="en-US" w:eastAsia="zh-CN"/>
        </w:rPr>
      </w:pPr>
      <w:r>
        <w:rPr>
          <w:rFonts w:hint="eastAsia" w:eastAsia="黑体" w:cs="黑体"/>
          <w:bCs/>
          <w:sz w:val="32"/>
          <w:szCs w:val="32"/>
          <w:highlight w:val="none"/>
          <w:lang w:val="en-US" w:eastAsia="zh-CN"/>
        </w:rPr>
        <w:t>二、评价结果</w:t>
      </w:r>
    </w:p>
    <w:p w14:paraId="710FBA5E">
      <w:pPr>
        <w:keepNext w:val="0"/>
        <w:keepLines w:val="0"/>
        <w:pageBreakBefore w:val="0"/>
        <w:widowControl w:val="0"/>
        <w:kinsoku/>
        <w:wordWrap/>
        <w:topLinePunct w:val="0"/>
        <w:bidi w:val="0"/>
        <w:spacing w:line="360" w:lineRule="auto"/>
        <w:ind w:firstLine="640" w:firstLineChars="200"/>
        <w:jc w:val="both"/>
        <w:rPr>
          <w:rFonts w:eastAsia="仿宋_GB2312" w:cs="仿宋_GB2312"/>
          <w:bCs/>
          <w:sz w:val="32"/>
          <w:szCs w:val="32"/>
          <w:highlight w:val="none"/>
        </w:rPr>
      </w:pPr>
      <w:r>
        <w:rPr>
          <w:rFonts w:hint="eastAsia" w:eastAsia="仿宋_GB2312" w:cs="仿宋_GB2312"/>
          <w:bCs/>
          <w:sz w:val="32"/>
          <w:szCs w:val="32"/>
          <w:highlight w:val="none"/>
          <w:lang w:eastAsia="zh-CN"/>
        </w:rPr>
        <w:t>忻州经济开发区管理委员会建设环保管理部2023年度部门整体</w:t>
      </w:r>
      <w:r>
        <w:rPr>
          <w:rFonts w:hint="eastAsia" w:eastAsia="仿宋_GB2312" w:cs="仿宋_GB2312"/>
          <w:bCs/>
          <w:sz w:val="32"/>
          <w:szCs w:val="32"/>
          <w:highlight w:val="none"/>
        </w:rPr>
        <w:t>绩效评价得分</w:t>
      </w:r>
      <w:r>
        <w:rPr>
          <w:rFonts w:hint="eastAsia" w:eastAsia="仿宋_GB2312" w:cs="仿宋_GB2312"/>
          <w:bCs/>
          <w:sz w:val="32"/>
          <w:szCs w:val="32"/>
          <w:highlight w:val="none"/>
          <w:lang w:val="en-US" w:eastAsia="zh-CN"/>
        </w:rPr>
        <w:t>74.22</w:t>
      </w:r>
      <w:r>
        <w:rPr>
          <w:rFonts w:hint="eastAsia" w:eastAsia="仿宋_GB2312" w:cs="仿宋_GB2312"/>
          <w:bCs/>
          <w:sz w:val="32"/>
          <w:szCs w:val="32"/>
          <w:highlight w:val="none"/>
        </w:rPr>
        <w:t>分，评价等级为“</w:t>
      </w:r>
      <w:r>
        <w:rPr>
          <w:rFonts w:hint="eastAsia" w:eastAsia="仿宋_GB2312" w:cs="仿宋_GB2312"/>
          <w:bCs/>
          <w:sz w:val="32"/>
          <w:szCs w:val="32"/>
          <w:highlight w:val="none"/>
          <w:lang w:val="en-US" w:eastAsia="zh-CN"/>
        </w:rPr>
        <w:t>中</w:t>
      </w:r>
      <w:r>
        <w:rPr>
          <w:rFonts w:hint="eastAsia" w:eastAsia="仿宋_GB2312" w:cs="仿宋_GB2312"/>
          <w:bCs/>
          <w:sz w:val="32"/>
          <w:szCs w:val="32"/>
          <w:highlight w:val="none"/>
        </w:rPr>
        <w:t>”。绩效评价指标、权重及评价得分情况见下表3-1：</w:t>
      </w:r>
    </w:p>
    <w:p w14:paraId="23BA2D44">
      <w:pPr>
        <w:keepNext w:val="0"/>
        <w:keepLines w:val="0"/>
        <w:pageBreakBefore w:val="0"/>
        <w:widowControl w:val="0"/>
        <w:kinsoku/>
        <w:wordWrap/>
        <w:overflowPunct w:val="0"/>
        <w:topLinePunct w:val="0"/>
        <w:bidi w:val="0"/>
        <w:snapToGrid w:val="0"/>
        <w:spacing w:line="360" w:lineRule="auto"/>
        <w:jc w:val="center"/>
        <w:rPr>
          <w:rFonts w:eastAsia="黑体"/>
          <w:kern w:val="0"/>
          <w:sz w:val="28"/>
          <w:szCs w:val="28"/>
          <w:highlight w:val="none"/>
        </w:rPr>
      </w:pPr>
      <w:r>
        <w:rPr>
          <w:rFonts w:hint="eastAsia" w:eastAsia="黑体"/>
          <w:kern w:val="0"/>
          <w:sz w:val="28"/>
          <w:szCs w:val="24"/>
          <w:highlight w:val="none"/>
          <w:lang w:val="zh-CN"/>
        </w:rPr>
        <w:t>表</w:t>
      </w:r>
      <w:r>
        <w:rPr>
          <w:rFonts w:hint="eastAsia" w:eastAsia="仿宋_GB2312"/>
          <w:kern w:val="0"/>
          <w:sz w:val="28"/>
          <w:szCs w:val="24"/>
          <w:highlight w:val="none"/>
        </w:rPr>
        <w:t>3-1</w:t>
      </w:r>
      <w:r>
        <w:rPr>
          <w:rFonts w:hint="eastAsia" w:eastAsia="黑体"/>
          <w:kern w:val="0"/>
          <w:sz w:val="28"/>
          <w:szCs w:val="24"/>
          <w:highlight w:val="none"/>
          <w:lang w:val="zh-CN"/>
        </w:rPr>
        <w:t>绩效评价得分情况表</w:t>
      </w:r>
    </w:p>
    <w:tbl>
      <w:tblPr>
        <w:tblStyle w:val="10"/>
        <w:tblW w:w="488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5"/>
        <w:gridCol w:w="1386"/>
        <w:gridCol w:w="1386"/>
        <w:gridCol w:w="1386"/>
        <w:gridCol w:w="1387"/>
        <w:gridCol w:w="1387"/>
      </w:tblGrid>
      <w:tr w14:paraId="5FC88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tblHeader/>
          <w:jc w:val="center"/>
        </w:trPr>
        <w:tc>
          <w:tcPr>
            <w:tcW w:w="832" w:type="pct"/>
            <w:shd w:val="clear" w:color="auto" w:fill="A4A4A4" w:themeFill="background1" w:themeFillShade="A5"/>
            <w:vAlign w:val="center"/>
          </w:tcPr>
          <w:p w14:paraId="3673CD99">
            <w:pPr>
              <w:keepNext w:val="0"/>
              <w:keepLines w:val="0"/>
              <w:pageBreakBefore w:val="0"/>
              <w:widowControl w:val="0"/>
              <w:kinsoku/>
              <w:wordWrap/>
              <w:overflowPunct w:val="0"/>
              <w:topLinePunct w:val="0"/>
              <w:bidi w:val="0"/>
              <w:jc w:val="center"/>
              <w:textAlignment w:val="center"/>
              <w:rPr>
                <w:rFonts w:ascii="Times New Roman" w:hAnsi="Times New Roman" w:eastAsia="宋体" w:cs="宋体"/>
                <w:b/>
                <w:kern w:val="0"/>
                <w:highlight w:val="none"/>
                <w:lang w:eastAsia="zh-TW"/>
              </w:rPr>
            </w:pPr>
            <w:r>
              <w:rPr>
                <w:rFonts w:hint="eastAsia" w:ascii="Times New Roman" w:hAnsi="Times New Roman" w:eastAsia="宋体" w:cs="宋体"/>
                <w:b/>
                <w:bCs/>
                <w:color w:val="000000"/>
                <w:kern w:val="0"/>
                <w:highlight w:val="none"/>
              </w:rPr>
              <w:t>评价指标</w:t>
            </w:r>
          </w:p>
        </w:tc>
        <w:tc>
          <w:tcPr>
            <w:tcW w:w="833" w:type="pct"/>
            <w:shd w:val="clear" w:color="auto" w:fill="A4A4A4" w:themeFill="background1" w:themeFillShade="A5"/>
            <w:vAlign w:val="center"/>
          </w:tcPr>
          <w:p w14:paraId="4F985934">
            <w:pPr>
              <w:keepNext w:val="0"/>
              <w:keepLines w:val="0"/>
              <w:pageBreakBefore w:val="0"/>
              <w:widowControl w:val="0"/>
              <w:kinsoku/>
              <w:wordWrap/>
              <w:overflowPunct w:val="0"/>
              <w:topLinePunct w:val="0"/>
              <w:bidi w:val="0"/>
              <w:jc w:val="center"/>
              <w:textAlignment w:val="center"/>
              <w:rPr>
                <w:rFonts w:hint="eastAsia" w:ascii="Times New Roman" w:hAnsi="Times New Roman" w:eastAsia="宋体" w:cs="宋体"/>
                <w:b/>
                <w:kern w:val="0"/>
                <w:highlight w:val="none"/>
                <w:lang w:eastAsia="zh-CN"/>
              </w:rPr>
            </w:pPr>
            <w:r>
              <w:rPr>
                <w:rFonts w:hint="eastAsia" w:cs="宋体"/>
                <w:b/>
                <w:bCs/>
                <w:color w:val="000000"/>
                <w:kern w:val="0"/>
                <w:highlight w:val="none"/>
                <w:lang w:val="en-US" w:eastAsia="zh-CN"/>
              </w:rPr>
              <w:t>部门决策</w:t>
            </w:r>
          </w:p>
        </w:tc>
        <w:tc>
          <w:tcPr>
            <w:tcW w:w="833" w:type="pct"/>
            <w:shd w:val="clear" w:color="auto" w:fill="A4A4A4" w:themeFill="background1" w:themeFillShade="A5"/>
            <w:vAlign w:val="center"/>
          </w:tcPr>
          <w:p w14:paraId="5D75B4E0">
            <w:pPr>
              <w:keepNext w:val="0"/>
              <w:keepLines w:val="0"/>
              <w:pageBreakBefore w:val="0"/>
              <w:widowControl w:val="0"/>
              <w:kinsoku/>
              <w:wordWrap/>
              <w:overflowPunct w:val="0"/>
              <w:topLinePunct w:val="0"/>
              <w:bidi w:val="0"/>
              <w:jc w:val="center"/>
              <w:textAlignment w:val="center"/>
              <w:rPr>
                <w:rFonts w:hint="eastAsia" w:ascii="Times New Roman" w:hAnsi="Times New Roman" w:eastAsia="宋体" w:cs="宋体"/>
                <w:b/>
                <w:kern w:val="0"/>
                <w:highlight w:val="none"/>
                <w:lang w:eastAsia="zh-CN"/>
              </w:rPr>
            </w:pPr>
            <w:r>
              <w:rPr>
                <w:rFonts w:hint="eastAsia" w:cs="宋体"/>
                <w:b/>
                <w:bCs/>
                <w:color w:val="000000"/>
                <w:kern w:val="0"/>
                <w:highlight w:val="none"/>
                <w:lang w:val="en-US" w:eastAsia="zh-CN"/>
              </w:rPr>
              <w:t>部门管理</w:t>
            </w:r>
          </w:p>
        </w:tc>
        <w:tc>
          <w:tcPr>
            <w:tcW w:w="833" w:type="pct"/>
            <w:shd w:val="clear" w:color="auto" w:fill="A4A4A4" w:themeFill="background1" w:themeFillShade="A5"/>
            <w:vAlign w:val="center"/>
          </w:tcPr>
          <w:p w14:paraId="12A56AED">
            <w:pPr>
              <w:keepNext w:val="0"/>
              <w:keepLines w:val="0"/>
              <w:pageBreakBefore w:val="0"/>
              <w:widowControl w:val="0"/>
              <w:kinsoku/>
              <w:wordWrap/>
              <w:overflowPunct w:val="0"/>
              <w:topLinePunct w:val="0"/>
              <w:bidi w:val="0"/>
              <w:jc w:val="center"/>
              <w:textAlignment w:val="center"/>
              <w:rPr>
                <w:rFonts w:hint="eastAsia" w:ascii="Times New Roman" w:hAnsi="Times New Roman" w:eastAsia="宋体" w:cs="宋体"/>
                <w:b/>
                <w:kern w:val="0"/>
                <w:highlight w:val="none"/>
                <w:lang w:eastAsia="zh-CN"/>
              </w:rPr>
            </w:pPr>
            <w:r>
              <w:rPr>
                <w:rFonts w:hint="eastAsia" w:cs="宋体"/>
                <w:b/>
                <w:bCs/>
                <w:color w:val="000000"/>
                <w:kern w:val="0"/>
                <w:highlight w:val="none"/>
                <w:lang w:val="en-US" w:eastAsia="zh-CN"/>
              </w:rPr>
              <w:t>部门产出</w:t>
            </w:r>
          </w:p>
        </w:tc>
        <w:tc>
          <w:tcPr>
            <w:tcW w:w="833" w:type="pct"/>
            <w:shd w:val="clear" w:color="auto" w:fill="A4A4A4" w:themeFill="background1" w:themeFillShade="A5"/>
            <w:vAlign w:val="center"/>
          </w:tcPr>
          <w:p w14:paraId="1017378D">
            <w:pPr>
              <w:keepNext w:val="0"/>
              <w:keepLines w:val="0"/>
              <w:pageBreakBefore w:val="0"/>
              <w:widowControl w:val="0"/>
              <w:kinsoku/>
              <w:wordWrap/>
              <w:overflowPunct w:val="0"/>
              <w:topLinePunct w:val="0"/>
              <w:bidi w:val="0"/>
              <w:jc w:val="center"/>
              <w:textAlignment w:val="center"/>
              <w:rPr>
                <w:rFonts w:hint="default" w:ascii="Times New Roman" w:hAnsi="Times New Roman" w:eastAsia="宋体" w:cs="宋体"/>
                <w:b/>
                <w:kern w:val="0"/>
                <w:highlight w:val="none"/>
                <w:lang w:val="en-US" w:eastAsia="zh-CN"/>
              </w:rPr>
            </w:pPr>
            <w:r>
              <w:rPr>
                <w:rFonts w:hint="eastAsia" w:cs="宋体"/>
                <w:b/>
                <w:bCs/>
                <w:color w:val="000000"/>
                <w:kern w:val="0"/>
                <w:highlight w:val="none"/>
                <w:lang w:val="en-US" w:eastAsia="zh-CN"/>
              </w:rPr>
              <w:t>部门效果</w:t>
            </w:r>
          </w:p>
        </w:tc>
        <w:tc>
          <w:tcPr>
            <w:tcW w:w="833" w:type="pct"/>
            <w:shd w:val="clear" w:color="auto" w:fill="A4A4A4" w:themeFill="background1" w:themeFillShade="A5"/>
            <w:vAlign w:val="center"/>
          </w:tcPr>
          <w:p w14:paraId="277A2301">
            <w:pPr>
              <w:keepNext w:val="0"/>
              <w:keepLines w:val="0"/>
              <w:pageBreakBefore w:val="0"/>
              <w:widowControl w:val="0"/>
              <w:kinsoku/>
              <w:wordWrap/>
              <w:overflowPunct w:val="0"/>
              <w:topLinePunct w:val="0"/>
              <w:bidi w:val="0"/>
              <w:jc w:val="center"/>
              <w:textAlignment w:val="center"/>
              <w:rPr>
                <w:rFonts w:ascii="Times New Roman" w:hAnsi="Times New Roman" w:eastAsia="宋体" w:cs="宋体"/>
                <w:b/>
                <w:kern w:val="0"/>
                <w:highlight w:val="none"/>
                <w:lang w:eastAsia="zh-TW"/>
              </w:rPr>
            </w:pPr>
            <w:r>
              <w:rPr>
                <w:rFonts w:hint="eastAsia" w:ascii="Times New Roman" w:hAnsi="Times New Roman" w:eastAsia="宋体" w:cs="宋体"/>
                <w:b/>
                <w:bCs/>
                <w:color w:val="000000"/>
                <w:kern w:val="0"/>
                <w:highlight w:val="none"/>
              </w:rPr>
              <w:t>合计</w:t>
            </w:r>
          </w:p>
        </w:tc>
      </w:tr>
      <w:tr w14:paraId="1FB74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832" w:type="pct"/>
            <w:vAlign w:val="center"/>
          </w:tcPr>
          <w:p w14:paraId="0300A6B6">
            <w:pPr>
              <w:keepNext w:val="0"/>
              <w:keepLines w:val="0"/>
              <w:pageBreakBefore w:val="0"/>
              <w:widowControl w:val="0"/>
              <w:kinsoku/>
              <w:wordWrap/>
              <w:overflowPunct w:val="0"/>
              <w:topLinePunct w:val="0"/>
              <w:bidi w:val="0"/>
              <w:jc w:val="center"/>
              <w:textAlignment w:val="center"/>
              <w:rPr>
                <w:rFonts w:ascii="Times New Roman" w:hAnsi="Times New Roman" w:eastAsia="宋体" w:cs="楷体"/>
                <w:bCs/>
                <w:kern w:val="0"/>
                <w:highlight w:val="none"/>
                <w:lang w:eastAsia="zh-TW"/>
              </w:rPr>
            </w:pPr>
            <w:r>
              <w:rPr>
                <w:rFonts w:hint="eastAsia" w:ascii="Times New Roman" w:hAnsi="Times New Roman" w:eastAsia="宋体" w:cs="宋体"/>
                <w:color w:val="000000"/>
                <w:kern w:val="0"/>
                <w:highlight w:val="none"/>
              </w:rPr>
              <w:t>权重</w:t>
            </w:r>
          </w:p>
        </w:tc>
        <w:tc>
          <w:tcPr>
            <w:tcW w:w="1474" w:type="dxa"/>
            <w:vAlign w:val="center"/>
          </w:tcPr>
          <w:p w14:paraId="517E536C">
            <w:pPr>
              <w:keepNext w:val="0"/>
              <w:keepLines w:val="0"/>
              <w:widowControl/>
              <w:suppressLineNumbers w:val="0"/>
              <w:jc w:val="center"/>
              <w:textAlignment w:val="center"/>
              <w:rPr>
                <w:rFonts w:hint="default" w:ascii="Times New Roman" w:hAnsi="Times New Roman" w:eastAsia="宋体" w:cs="楷体"/>
                <w:bCs/>
                <w:kern w:val="0"/>
                <w:highlight w:val="none"/>
                <w:lang w:val="en-US" w:eastAsia="zh-CN"/>
              </w:rPr>
            </w:pPr>
            <w:r>
              <w:rPr>
                <w:rFonts w:hint="default" w:ascii="Times New Roman" w:hAnsi="Times New Roman" w:eastAsia="宋体" w:cs="Times New Roman"/>
                <w:i w:val="0"/>
                <w:iCs w:val="0"/>
                <w:color w:val="000000"/>
                <w:kern w:val="0"/>
                <w:sz w:val="20"/>
                <w:szCs w:val="20"/>
                <w:highlight w:val="none"/>
                <w:u w:val="none"/>
                <w:lang w:val="en-US" w:eastAsia="zh-CN" w:bidi="ar"/>
              </w:rPr>
              <w:t>15</w:t>
            </w:r>
          </w:p>
        </w:tc>
        <w:tc>
          <w:tcPr>
            <w:tcW w:w="1474" w:type="dxa"/>
            <w:vAlign w:val="center"/>
          </w:tcPr>
          <w:p w14:paraId="660C8342">
            <w:pPr>
              <w:keepNext w:val="0"/>
              <w:keepLines w:val="0"/>
              <w:widowControl/>
              <w:suppressLineNumbers w:val="0"/>
              <w:jc w:val="center"/>
              <w:textAlignment w:val="center"/>
              <w:rPr>
                <w:rFonts w:ascii="Times New Roman" w:hAnsi="Times New Roman" w:eastAsia="宋体" w:cs="楷体"/>
                <w:bCs/>
                <w:kern w:val="0"/>
                <w:highlight w:val="none"/>
              </w:rPr>
            </w:pPr>
            <w:r>
              <w:rPr>
                <w:rFonts w:hint="default" w:ascii="Times New Roman" w:hAnsi="Times New Roman" w:eastAsia="宋体" w:cs="Times New Roman"/>
                <w:i w:val="0"/>
                <w:iCs w:val="0"/>
                <w:color w:val="000000"/>
                <w:kern w:val="0"/>
                <w:sz w:val="20"/>
                <w:szCs w:val="20"/>
                <w:highlight w:val="none"/>
                <w:u w:val="none"/>
                <w:lang w:val="en-US" w:eastAsia="zh-CN" w:bidi="ar"/>
              </w:rPr>
              <w:t>40</w:t>
            </w:r>
          </w:p>
        </w:tc>
        <w:tc>
          <w:tcPr>
            <w:tcW w:w="1474" w:type="dxa"/>
            <w:vAlign w:val="center"/>
          </w:tcPr>
          <w:p w14:paraId="23EC14FD">
            <w:pPr>
              <w:keepNext w:val="0"/>
              <w:keepLines w:val="0"/>
              <w:widowControl/>
              <w:suppressLineNumbers w:val="0"/>
              <w:jc w:val="center"/>
              <w:textAlignment w:val="center"/>
              <w:rPr>
                <w:rFonts w:hint="default" w:ascii="Times New Roman" w:hAnsi="Times New Roman" w:eastAsia="宋体" w:cs="楷体"/>
                <w:bCs/>
                <w:kern w:val="0"/>
                <w:highlight w:val="none"/>
                <w:lang w:val="en-US" w:eastAsia="zh-CN"/>
              </w:rPr>
            </w:pPr>
            <w:r>
              <w:rPr>
                <w:rFonts w:hint="default" w:ascii="Times New Roman" w:hAnsi="Times New Roman" w:eastAsia="宋体" w:cs="Times New Roman"/>
                <w:i w:val="0"/>
                <w:iCs w:val="0"/>
                <w:color w:val="000000"/>
                <w:kern w:val="0"/>
                <w:sz w:val="20"/>
                <w:szCs w:val="20"/>
                <w:highlight w:val="none"/>
                <w:u w:val="none"/>
                <w:lang w:val="en-US" w:eastAsia="zh-CN" w:bidi="ar"/>
              </w:rPr>
              <w:t>30</w:t>
            </w:r>
          </w:p>
        </w:tc>
        <w:tc>
          <w:tcPr>
            <w:tcW w:w="1474" w:type="dxa"/>
            <w:vAlign w:val="center"/>
          </w:tcPr>
          <w:p w14:paraId="1258F99F">
            <w:pPr>
              <w:keepNext w:val="0"/>
              <w:keepLines w:val="0"/>
              <w:widowControl/>
              <w:suppressLineNumbers w:val="0"/>
              <w:jc w:val="center"/>
              <w:textAlignment w:val="center"/>
              <w:rPr>
                <w:rFonts w:hint="default" w:ascii="Times New Roman" w:hAnsi="Times New Roman" w:eastAsia="宋体" w:cs="楷体"/>
                <w:bCs/>
                <w:kern w:val="0"/>
                <w:highlight w:val="none"/>
                <w:lang w:val="en-US" w:eastAsia="zh-CN"/>
              </w:rPr>
            </w:pPr>
            <w:r>
              <w:rPr>
                <w:rFonts w:hint="default" w:ascii="Times New Roman" w:hAnsi="Times New Roman" w:eastAsia="宋体" w:cs="Times New Roman"/>
                <w:i w:val="0"/>
                <w:iCs w:val="0"/>
                <w:color w:val="000000"/>
                <w:kern w:val="0"/>
                <w:sz w:val="20"/>
                <w:szCs w:val="20"/>
                <w:highlight w:val="none"/>
                <w:u w:val="none"/>
                <w:lang w:val="en-US" w:eastAsia="zh-CN" w:bidi="ar"/>
              </w:rPr>
              <w:t>15</w:t>
            </w:r>
          </w:p>
        </w:tc>
        <w:tc>
          <w:tcPr>
            <w:tcW w:w="1475" w:type="dxa"/>
            <w:vAlign w:val="center"/>
          </w:tcPr>
          <w:p w14:paraId="3DAC847A">
            <w:pPr>
              <w:keepNext w:val="0"/>
              <w:keepLines w:val="0"/>
              <w:widowControl/>
              <w:suppressLineNumbers w:val="0"/>
              <w:jc w:val="center"/>
              <w:textAlignment w:val="center"/>
              <w:rPr>
                <w:rFonts w:ascii="Times New Roman" w:hAnsi="Times New Roman" w:eastAsia="宋体" w:cs="楷体"/>
                <w:bCs/>
                <w:kern w:val="0"/>
                <w:highlight w:val="none"/>
              </w:rPr>
            </w:pPr>
            <w:r>
              <w:rPr>
                <w:rFonts w:hint="default" w:ascii="Times New Roman" w:hAnsi="Times New Roman" w:eastAsia="宋体" w:cs="Times New Roman"/>
                <w:i w:val="0"/>
                <w:iCs w:val="0"/>
                <w:color w:val="000000"/>
                <w:kern w:val="0"/>
                <w:sz w:val="20"/>
                <w:szCs w:val="20"/>
                <w:highlight w:val="none"/>
                <w:u w:val="none"/>
                <w:lang w:val="en-US" w:eastAsia="zh-CN" w:bidi="ar"/>
              </w:rPr>
              <w:t>100</w:t>
            </w:r>
          </w:p>
        </w:tc>
      </w:tr>
      <w:tr w14:paraId="22233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832" w:type="pct"/>
            <w:vAlign w:val="center"/>
          </w:tcPr>
          <w:p w14:paraId="2E9EEFB0">
            <w:pPr>
              <w:keepNext w:val="0"/>
              <w:keepLines w:val="0"/>
              <w:pageBreakBefore w:val="0"/>
              <w:widowControl w:val="0"/>
              <w:kinsoku/>
              <w:wordWrap/>
              <w:overflowPunct w:val="0"/>
              <w:topLinePunct w:val="0"/>
              <w:bidi w:val="0"/>
              <w:jc w:val="center"/>
              <w:textAlignment w:val="center"/>
              <w:rPr>
                <w:rFonts w:ascii="Times New Roman" w:hAnsi="Times New Roman" w:eastAsia="宋体" w:cs="楷体"/>
                <w:bCs/>
                <w:kern w:val="0"/>
                <w:highlight w:val="none"/>
                <w:lang w:eastAsia="zh-TW"/>
              </w:rPr>
            </w:pPr>
            <w:r>
              <w:rPr>
                <w:rFonts w:hint="eastAsia" w:ascii="Times New Roman" w:hAnsi="Times New Roman" w:eastAsia="宋体" w:cs="宋体"/>
                <w:color w:val="000000"/>
                <w:kern w:val="0"/>
                <w:highlight w:val="none"/>
              </w:rPr>
              <w:t>评价得分</w:t>
            </w:r>
          </w:p>
        </w:tc>
        <w:tc>
          <w:tcPr>
            <w:tcW w:w="1474" w:type="dxa"/>
            <w:vAlign w:val="center"/>
          </w:tcPr>
          <w:p w14:paraId="057CA916">
            <w:pPr>
              <w:keepNext w:val="0"/>
              <w:keepLines w:val="0"/>
              <w:widowControl/>
              <w:suppressLineNumbers w:val="0"/>
              <w:jc w:val="center"/>
              <w:textAlignment w:val="center"/>
              <w:rPr>
                <w:rFonts w:hint="default" w:ascii="Times New Roman" w:hAnsi="Times New Roman" w:eastAsia="宋体" w:cs="楷体"/>
                <w:bCs/>
                <w:kern w:val="0"/>
                <w:highlight w:val="none"/>
                <w:lang w:val="en-US" w:eastAsia="zh-CN"/>
              </w:rPr>
            </w:pPr>
            <w:r>
              <w:rPr>
                <w:rFonts w:hint="default" w:ascii="Times New Roman" w:hAnsi="Times New Roman" w:eastAsia="宋体" w:cs="Times New Roman"/>
                <w:i w:val="0"/>
                <w:iCs w:val="0"/>
                <w:color w:val="000000"/>
                <w:kern w:val="0"/>
                <w:sz w:val="20"/>
                <w:szCs w:val="20"/>
                <w:highlight w:val="none"/>
                <w:u w:val="none"/>
                <w:lang w:val="en-US" w:eastAsia="zh-CN" w:bidi="ar"/>
              </w:rPr>
              <w:t>10.5</w:t>
            </w:r>
          </w:p>
        </w:tc>
        <w:tc>
          <w:tcPr>
            <w:tcW w:w="1474" w:type="dxa"/>
            <w:vAlign w:val="center"/>
          </w:tcPr>
          <w:p w14:paraId="71A92723">
            <w:pPr>
              <w:keepNext w:val="0"/>
              <w:keepLines w:val="0"/>
              <w:widowControl/>
              <w:suppressLineNumbers w:val="0"/>
              <w:jc w:val="center"/>
              <w:textAlignment w:val="center"/>
              <w:rPr>
                <w:rFonts w:hint="default" w:ascii="Times New Roman" w:hAnsi="Times New Roman" w:eastAsia="宋体" w:cs="楷体"/>
                <w:bCs/>
                <w:kern w:val="0"/>
                <w:highlight w:val="none"/>
                <w:lang w:val="en-US" w:eastAsia="zh-CN"/>
              </w:rPr>
            </w:pPr>
            <w:r>
              <w:rPr>
                <w:rFonts w:hint="default" w:ascii="Times New Roman" w:hAnsi="Times New Roman" w:eastAsia="宋体" w:cs="Times New Roman"/>
                <w:i w:val="0"/>
                <w:iCs w:val="0"/>
                <w:color w:val="000000"/>
                <w:kern w:val="0"/>
                <w:sz w:val="20"/>
                <w:szCs w:val="20"/>
                <w:highlight w:val="none"/>
                <w:u w:val="none"/>
                <w:lang w:val="en-US" w:eastAsia="zh-CN" w:bidi="ar"/>
              </w:rPr>
              <w:t>28.05</w:t>
            </w:r>
          </w:p>
        </w:tc>
        <w:tc>
          <w:tcPr>
            <w:tcW w:w="1474" w:type="dxa"/>
            <w:vAlign w:val="center"/>
          </w:tcPr>
          <w:p w14:paraId="5010E56E">
            <w:pPr>
              <w:keepNext w:val="0"/>
              <w:keepLines w:val="0"/>
              <w:widowControl/>
              <w:suppressLineNumbers w:val="0"/>
              <w:jc w:val="center"/>
              <w:textAlignment w:val="center"/>
              <w:rPr>
                <w:rFonts w:hint="default" w:ascii="Times New Roman" w:hAnsi="Times New Roman" w:eastAsia="宋体" w:cs="楷体"/>
                <w:bCs/>
                <w:kern w:val="0"/>
                <w:highlight w:val="none"/>
                <w:lang w:val="en-US" w:eastAsia="zh-CN"/>
              </w:rPr>
            </w:pPr>
            <w:r>
              <w:rPr>
                <w:rFonts w:hint="default" w:ascii="Times New Roman" w:hAnsi="Times New Roman" w:eastAsia="宋体" w:cs="Times New Roman"/>
                <w:i w:val="0"/>
                <w:iCs w:val="0"/>
                <w:color w:val="000000"/>
                <w:kern w:val="0"/>
                <w:sz w:val="20"/>
                <w:szCs w:val="20"/>
                <w:highlight w:val="none"/>
                <w:u w:val="none"/>
                <w:lang w:val="en-US" w:eastAsia="zh-CN" w:bidi="ar"/>
              </w:rPr>
              <w:t>24.27</w:t>
            </w:r>
          </w:p>
        </w:tc>
        <w:tc>
          <w:tcPr>
            <w:tcW w:w="1474" w:type="dxa"/>
            <w:vAlign w:val="center"/>
          </w:tcPr>
          <w:p w14:paraId="77FF73E0">
            <w:pPr>
              <w:keepNext w:val="0"/>
              <w:keepLines w:val="0"/>
              <w:widowControl/>
              <w:suppressLineNumbers w:val="0"/>
              <w:jc w:val="center"/>
              <w:textAlignment w:val="center"/>
              <w:rPr>
                <w:rFonts w:hint="default" w:ascii="Times New Roman" w:hAnsi="Times New Roman" w:eastAsia="宋体" w:cs="楷体"/>
                <w:bCs/>
                <w:kern w:val="0"/>
                <w:highlight w:val="none"/>
                <w:lang w:val="en-US"/>
              </w:rPr>
            </w:pPr>
            <w:r>
              <w:rPr>
                <w:rFonts w:hint="default" w:ascii="Times New Roman" w:hAnsi="Times New Roman" w:eastAsia="宋体" w:cs="Times New Roman"/>
                <w:i w:val="0"/>
                <w:iCs w:val="0"/>
                <w:color w:val="000000"/>
                <w:kern w:val="0"/>
                <w:sz w:val="20"/>
                <w:szCs w:val="20"/>
                <w:highlight w:val="none"/>
                <w:u w:val="none"/>
                <w:lang w:val="en-US" w:eastAsia="zh-CN" w:bidi="ar"/>
              </w:rPr>
              <w:t>11.4</w:t>
            </w:r>
          </w:p>
        </w:tc>
        <w:tc>
          <w:tcPr>
            <w:tcW w:w="1475" w:type="dxa"/>
            <w:vAlign w:val="center"/>
          </w:tcPr>
          <w:p w14:paraId="399AD33B">
            <w:pPr>
              <w:keepNext w:val="0"/>
              <w:keepLines w:val="0"/>
              <w:widowControl/>
              <w:suppressLineNumbers w:val="0"/>
              <w:jc w:val="center"/>
              <w:textAlignment w:val="center"/>
              <w:rPr>
                <w:rFonts w:hint="default" w:ascii="Times New Roman" w:hAnsi="Times New Roman" w:eastAsia="宋体" w:cs="楷体"/>
                <w:bCs/>
                <w:kern w:val="0"/>
                <w:highlight w:val="none"/>
                <w:lang w:val="en-US" w:eastAsia="zh-CN"/>
              </w:rPr>
            </w:pPr>
            <w:r>
              <w:rPr>
                <w:rFonts w:hint="default" w:ascii="Times New Roman" w:hAnsi="Times New Roman" w:eastAsia="宋体" w:cs="Times New Roman"/>
                <w:i w:val="0"/>
                <w:iCs w:val="0"/>
                <w:color w:val="000000"/>
                <w:kern w:val="0"/>
                <w:sz w:val="20"/>
                <w:szCs w:val="20"/>
                <w:highlight w:val="none"/>
                <w:u w:val="none"/>
                <w:lang w:val="en-US" w:eastAsia="zh-CN" w:bidi="ar"/>
              </w:rPr>
              <w:t>74.22</w:t>
            </w:r>
          </w:p>
        </w:tc>
      </w:tr>
      <w:tr w14:paraId="1F349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832" w:type="pct"/>
            <w:vAlign w:val="center"/>
          </w:tcPr>
          <w:p w14:paraId="6A0FE987">
            <w:pPr>
              <w:keepNext w:val="0"/>
              <w:keepLines w:val="0"/>
              <w:pageBreakBefore w:val="0"/>
              <w:widowControl w:val="0"/>
              <w:kinsoku/>
              <w:wordWrap/>
              <w:overflowPunct w:val="0"/>
              <w:topLinePunct w:val="0"/>
              <w:bidi w:val="0"/>
              <w:jc w:val="center"/>
              <w:textAlignment w:val="center"/>
              <w:rPr>
                <w:rFonts w:ascii="Times New Roman" w:hAnsi="Times New Roman" w:eastAsia="宋体" w:cs="楷体"/>
                <w:b/>
                <w:kern w:val="0"/>
                <w:highlight w:val="none"/>
              </w:rPr>
            </w:pPr>
            <w:r>
              <w:rPr>
                <w:rFonts w:hint="eastAsia" w:ascii="Times New Roman" w:hAnsi="Times New Roman" w:eastAsia="宋体" w:cs="宋体"/>
                <w:b/>
                <w:bCs/>
                <w:color w:val="000000"/>
                <w:kern w:val="0"/>
                <w:highlight w:val="none"/>
              </w:rPr>
              <w:t>得分率</w:t>
            </w:r>
          </w:p>
        </w:tc>
        <w:tc>
          <w:tcPr>
            <w:tcW w:w="1474" w:type="dxa"/>
            <w:vAlign w:val="center"/>
          </w:tcPr>
          <w:p w14:paraId="33A74489">
            <w:pPr>
              <w:keepNext w:val="0"/>
              <w:keepLines w:val="0"/>
              <w:widowControl/>
              <w:suppressLineNumbers w:val="0"/>
              <w:jc w:val="center"/>
              <w:textAlignment w:val="center"/>
              <w:rPr>
                <w:rFonts w:ascii="Times New Roman" w:hAnsi="Times New Roman" w:eastAsia="宋体" w:cs="楷体"/>
                <w:b/>
                <w:kern w:val="0"/>
                <w:highlight w:val="none"/>
              </w:rPr>
            </w:pPr>
            <w:r>
              <w:rPr>
                <w:rFonts w:hint="default" w:ascii="Times New Roman" w:hAnsi="Times New Roman" w:eastAsia="宋体" w:cs="Times New Roman"/>
                <w:b/>
                <w:bCs/>
                <w:i w:val="0"/>
                <w:iCs w:val="0"/>
                <w:color w:val="000000"/>
                <w:kern w:val="0"/>
                <w:sz w:val="20"/>
                <w:szCs w:val="20"/>
                <w:highlight w:val="none"/>
                <w:u w:val="none"/>
                <w:lang w:val="en-US" w:eastAsia="zh-CN" w:bidi="ar"/>
              </w:rPr>
              <w:t>70.00%</w:t>
            </w:r>
          </w:p>
        </w:tc>
        <w:tc>
          <w:tcPr>
            <w:tcW w:w="1474" w:type="dxa"/>
            <w:vAlign w:val="center"/>
          </w:tcPr>
          <w:p w14:paraId="15EFD6E2">
            <w:pPr>
              <w:keepNext w:val="0"/>
              <w:keepLines w:val="0"/>
              <w:widowControl/>
              <w:suppressLineNumbers w:val="0"/>
              <w:jc w:val="center"/>
              <w:textAlignment w:val="center"/>
              <w:rPr>
                <w:rFonts w:ascii="Times New Roman" w:hAnsi="Times New Roman" w:eastAsia="宋体" w:cs="楷体"/>
                <w:b/>
                <w:kern w:val="0"/>
                <w:highlight w:val="none"/>
              </w:rPr>
            </w:pPr>
            <w:r>
              <w:rPr>
                <w:rFonts w:hint="default" w:ascii="Times New Roman" w:hAnsi="Times New Roman" w:eastAsia="宋体" w:cs="Times New Roman"/>
                <w:b/>
                <w:bCs/>
                <w:i w:val="0"/>
                <w:iCs w:val="0"/>
                <w:color w:val="000000"/>
                <w:kern w:val="0"/>
                <w:sz w:val="20"/>
                <w:szCs w:val="20"/>
                <w:highlight w:val="none"/>
                <w:u w:val="none"/>
                <w:lang w:val="en-US" w:eastAsia="zh-CN" w:bidi="ar"/>
              </w:rPr>
              <w:t>70.13%</w:t>
            </w:r>
          </w:p>
        </w:tc>
        <w:tc>
          <w:tcPr>
            <w:tcW w:w="1474" w:type="dxa"/>
            <w:vAlign w:val="center"/>
          </w:tcPr>
          <w:p w14:paraId="6330BDA8">
            <w:pPr>
              <w:keepNext w:val="0"/>
              <w:keepLines w:val="0"/>
              <w:widowControl/>
              <w:suppressLineNumbers w:val="0"/>
              <w:jc w:val="center"/>
              <w:textAlignment w:val="center"/>
              <w:rPr>
                <w:rFonts w:ascii="Times New Roman" w:hAnsi="Times New Roman" w:eastAsia="宋体" w:cs="楷体"/>
                <w:b/>
                <w:kern w:val="0"/>
                <w:highlight w:val="none"/>
              </w:rPr>
            </w:pPr>
            <w:r>
              <w:rPr>
                <w:rFonts w:hint="default" w:ascii="Times New Roman" w:hAnsi="Times New Roman" w:eastAsia="宋体" w:cs="Times New Roman"/>
                <w:b/>
                <w:bCs/>
                <w:i w:val="0"/>
                <w:iCs w:val="0"/>
                <w:color w:val="000000"/>
                <w:kern w:val="0"/>
                <w:sz w:val="20"/>
                <w:szCs w:val="20"/>
                <w:highlight w:val="none"/>
                <w:u w:val="none"/>
                <w:lang w:val="en-US" w:eastAsia="zh-CN" w:bidi="ar"/>
              </w:rPr>
              <w:t>80.90%</w:t>
            </w:r>
          </w:p>
        </w:tc>
        <w:tc>
          <w:tcPr>
            <w:tcW w:w="1474" w:type="dxa"/>
            <w:vAlign w:val="center"/>
          </w:tcPr>
          <w:p w14:paraId="048A424E">
            <w:pPr>
              <w:keepNext w:val="0"/>
              <w:keepLines w:val="0"/>
              <w:widowControl/>
              <w:suppressLineNumbers w:val="0"/>
              <w:jc w:val="center"/>
              <w:textAlignment w:val="center"/>
              <w:rPr>
                <w:rFonts w:ascii="Times New Roman" w:hAnsi="Times New Roman" w:eastAsia="宋体" w:cs="楷体"/>
                <w:b/>
                <w:kern w:val="0"/>
                <w:highlight w:val="none"/>
              </w:rPr>
            </w:pPr>
            <w:r>
              <w:rPr>
                <w:rFonts w:hint="default" w:ascii="Times New Roman" w:hAnsi="Times New Roman" w:eastAsia="宋体" w:cs="Times New Roman"/>
                <w:b/>
                <w:bCs/>
                <w:i w:val="0"/>
                <w:iCs w:val="0"/>
                <w:color w:val="000000"/>
                <w:kern w:val="0"/>
                <w:sz w:val="20"/>
                <w:szCs w:val="20"/>
                <w:highlight w:val="none"/>
                <w:u w:val="none"/>
                <w:lang w:val="en-US" w:eastAsia="zh-CN" w:bidi="ar"/>
              </w:rPr>
              <w:t>76.00%</w:t>
            </w:r>
          </w:p>
        </w:tc>
        <w:tc>
          <w:tcPr>
            <w:tcW w:w="1475" w:type="dxa"/>
            <w:vAlign w:val="center"/>
          </w:tcPr>
          <w:p w14:paraId="00495699">
            <w:pPr>
              <w:keepNext w:val="0"/>
              <w:keepLines w:val="0"/>
              <w:widowControl/>
              <w:suppressLineNumbers w:val="0"/>
              <w:jc w:val="center"/>
              <w:textAlignment w:val="center"/>
              <w:rPr>
                <w:rFonts w:ascii="Times New Roman" w:hAnsi="Times New Roman" w:eastAsia="宋体" w:cs="楷体"/>
                <w:b/>
                <w:kern w:val="0"/>
                <w:highlight w:val="none"/>
              </w:rPr>
            </w:pPr>
            <w:r>
              <w:rPr>
                <w:rFonts w:hint="default" w:ascii="Times New Roman" w:hAnsi="Times New Roman" w:eastAsia="宋体" w:cs="Times New Roman"/>
                <w:b/>
                <w:bCs/>
                <w:i w:val="0"/>
                <w:iCs w:val="0"/>
                <w:color w:val="000000"/>
                <w:kern w:val="0"/>
                <w:sz w:val="20"/>
                <w:szCs w:val="20"/>
                <w:highlight w:val="none"/>
                <w:u w:val="none"/>
                <w:lang w:val="en-US" w:eastAsia="zh-CN" w:bidi="ar"/>
              </w:rPr>
              <w:t>74.22%</w:t>
            </w:r>
          </w:p>
        </w:tc>
      </w:tr>
    </w:tbl>
    <w:p w14:paraId="422518CB">
      <w:pPr>
        <w:keepNext w:val="0"/>
        <w:keepLines w:val="0"/>
        <w:pageBreakBefore w:val="0"/>
        <w:widowControl w:val="0"/>
        <w:numPr>
          <w:ilvl w:val="0"/>
          <w:numId w:val="0"/>
        </w:numPr>
        <w:tabs>
          <w:tab w:val="left" w:pos="225"/>
        </w:tabs>
        <w:kinsoku/>
        <w:wordWrap/>
        <w:overflowPunct/>
        <w:topLinePunct w:val="0"/>
        <w:autoSpaceDE/>
        <w:autoSpaceDN/>
        <w:bidi w:val="0"/>
        <w:adjustRightInd/>
        <w:snapToGrid/>
        <w:spacing w:before="157" w:beforeLines="50" w:line="360" w:lineRule="auto"/>
        <w:ind w:firstLine="640" w:firstLineChars="200"/>
        <w:jc w:val="both"/>
        <w:textAlignment w:val="auto"/>
        <w:rPr>
          <w:rFonts w:eastAsia="黑体" w:cs="黑体"/>
          <w:bCs/>
          <w:sz w:val="32"/>
          <w:szCs w:val="32"/>
          <w:highlight w:val="none"/>
        </w:rPr>
      </w:pPr>
      <w:r>
        <w:rPr>
          <w:rFonts w:hint="eastAsia" w:eastAsia="黑体" w:cs="黑体"/>
          <w:bCs/>
          <w:sz w:val="32"/>
          <w:szCs w:val="32"/>
          <w:highlight w:val="none"/>
          <w:lang w:val="en-US" w:eastAsia="zh-CN"/>
        </w:rPr>
        <w:t>三、</w:t>
      </w:r>
      <w:r>
        <w:rPr>
          <w:rFonts w:hint="eastAsia" w:eastAsia="黑体" w:cs="黑体"/>
          <w:bCs/>
          <w:sz w:val="32"/>
          <w:szCs w:val="32"/>
          <w:highlight w:val="none"/>
        </w:rPr>
        <w:t>项目绩效</w:t>
      </w:r>
    </w:p>
    <w:p w14:paraId="73879A9E">
      <w:pPr>
        <w:keepNext w:val="0"/>
        <w:keepLines w:val="0"/>
        <w:pageBreakBefore w:val="0"/>
        <w:widowControl w:val="0"/>
        <w:kinsoku/>
        <w:wordWrap/>
        <w:overflowPunct w:val="0"/>
        <w:topLinePunct w:val="0"/>
        <w:bidi w:val="0"/>
        <w:spacing w:line="360" w:lineRule="auto"/>
        <w:ind w:firstLine="640" w:firstLineChars="200"/>
        <w:jc w:val="both"/>
        <w:rPr>
          <w:rFonts w:hint="eastAsia" w:ascii="Times New Roman" w:hAnsi="Times New Roman" w:eastAsia="仿宋_GB2312" w:cs="Times New Roman"/>
          <w:sz w:val="32"/>
          <w:szCs w:val="32"/>
          <w:highlight w:val="none"/>
          <w:lang w:eastAsia="zh-CN"/>
        </w:rPr>
      </w:pPr>
      <w:r>
        <w:rPr>
          <w:rFonts w:hint="eastAsia" w:ascii="楷体_GB2312" w:hAnsi="楷体_GB2312" w:eastAsia="楷体" w:cs="楷体_GB2312"/>
          <w:bCs/>
          <w:sz w:val="32"/>
          <w:szCs w:val="32"/>
          <w:highlight w:val="none"/>
          <w:lang w:val="en-US" w:eastAsia="zh-CN"/>
        </w:rPr>
        <w:t>（一）有效保障园区空气质量。</w:t>
      </w:r>
      <w:r>
        <w:rPr>
          <w:rFonts w:hint="eastAsia" w:ascii="Times New Roman" w:hAnsi="Times New Roman" w:eastAsia="仿宋_GB2312" w:cs="仿宋_GB2312"/>
          <w:bCs/>
          <w:sz w:val="32"/>
          <w:szCs w:val="32"/>
          <w:highlight w:val="none"/>
          <w:lang w:val="en-US" w:eastAsia="zh-CN"/>
        </w:rPr>
        <w:t>忻州经济开发区管理委员会建设环保管理部按照《忻州市2023年臭氧污染防治实施方案》的要求，一是强化工业源挥发性有机物（VOCs）治理，对三家重点工业企业即晋能控股忻州通用机械有限责任公司、山西复盛公大药厂有限公司、忻州长城钨钼股份有限公司实行了</w:t>
      </w:r>
      <w:r>
        <w:rPr>
          <w:rFonts w:hint="eastAsia" w:ascii="Times New Roman" w:hAnsi="Times New Roman" w:eastAsia="仿宋_GB2312" w:cs="仿宋_GB2312"/>
          <w:bCs/>
          <w:sz w:val="32"/>
          <w:szCs w:val="32"/>
          <w:highlight w:val="none"/>
          <w:lang w:eastAsia="zh-CN"/>
        </w:rPr>
        <w:t>“一厂一策”治理；</w:t>
      </w:r>
      <w:r>
        <w:rPr>
          <w:rFonts w:hint="eastAsia" w:ascii="Times New Roman" w:hAnsi="Times New Roman" w:eastAsia="仿宋_GB2312" w:cs="仿宋_GB2312"/>
          <w:bCs/>
          <w:sz w:val="32"/>
          <w:szCs w:val="32"/>
          <w:highlight w:val="none"/>
          <w:lang w:val="en-US" w:eastAsia="zh-CN"/>
        </w:rPr>
        <w:t>二是强化道路洒水抑尘，加大洒水抑尘作业频次，加强洗扫车湿扫保洁作业，共计出动洒水车、洗扫车1000车次，清洗面积约17万平方米。</w:t>
      </w:r>
      <w:r>
        <w:rPr>
          <w:rFonts w:hint="eastAsia" w:ascii="Times New Roman" w:hAnsi="Times New Roman" w:eastAsia="仿宋_GB2312" w:cs="Times New Roman"/>
          <w:sz w:val="32"/>
          <w:szCs w:val="32"/>
          <w:highlight w:val="none"/>
          <w:lang w:val="en-US" w:eastAsia="zh-CN"/>
        </w:rPr>
        <w:t>忻州经济开发区空气质量数据显示</w:t>
      </w:r>
      <w:r>
        <w:rPr>
          <w:rFonts w:hint="default" w:ascii="Times New Roman" w:hAnsi="Times New Roman" w:eastAsia="仿宋_GB2312" w:cs="Times New Roman"/>
          <w:sz w:val="32"/>
          <w:szCs w:val="32"/>
          <w:highlight w:val="none"/>
        </w:rPr>
        <w:t>‌2022年‌：PM10：4.42</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一氧化碳：1.4</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臭氧：10</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二氧化硫：1.4</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二氧化氮：1.4‌1</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‌2023年‌：PM10：优于全省平均水平</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一氧化碳：优于全省平均水平</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臭氧同比改善率：居全省第一</w:t>
      </w:r>
      <w:r>
        <w:rPr>
          <w:rFonts w:hint="eastAsia" w:ascii="Times New Roman" w:hAnsi="Times New Roman" w:eastAsia="仿宋_GB2312" w:cs="Times New Roman"/>
          <w:sz w:val="32"/>
          <w:szCs w:val="32"/>
          <w:highlight w:val="none"/>
          <w:lang w:eastAsia="zh-CN"/>
        </w:rPr>
        <w:t>。</w:t>
      </w:r>
    </w:p>
    <w:p w14:paraId="39DE40E9">
      <w:pPr>
        <w:keepNext w:val="0"/>
        <w:keepLines w:val="0"/>
        <w:pageBreakBefore w:val="0"/>
        <w:widowControl w:val="0"/>
        <w:kinsoku/>
        <w:wordWrap/>
        <w:overflowPunct w:val="0"/>
        <w:topLinePunct w:val="0"/>
        <w:bidi w:val="0"/>
        <w:spacing w:line="360" w:lineRule="auto"/>
        <w:ind w:firstLine="640" w:firstLineChars="200"/>
        <w:jc w:val="both"/>
        <w:rPr>
          <w:rFonts w:eastAsia="仿宋_GB2312" w:cs="仿宋_GB2312"/>
          <w:bCs/>
          <w:sz w:val="32"/>
          <w:szCs w:val="32"/>
          <w:highlight w:val="none"/>
        </w:rPr>
      </w:pPr>
      <w:r>
        <w:rPr>
          <w:rFonts w:hint="eastAsia" w:ascii="楷体_GB2312" w:hAnsi="楷体_GB2312" w:eastAsia="楷体" w:cs="楷体_GB2312"/>
          <w:bCs/>
          <w:sz w:val="32"/>
          <w:szCs w:val="32"/>
          <w:highlight w:val="none"/>
          <w:lang w:val="en-US" w:eastAsia="zh-CN"/>
        </w:rPr>
        <w:t>（二）环卫工作完成较好，获得省级表彰。</w:t>
      </w:r>
      <w:r>
        <w:rPr>
          <w:rFonts w:hint="eastAsia" w:ascii="Times New Roman" w:hAnsi="Times New Roman" w:eastAsia="仿宋_GB2312" w:cs="Times New Roman"/>
          <w:sz w:val="32"/>
          <w:szCs w:val="32"/>
          <w:highlight w:val="none"/>
          <w:lang w:val="en-US" w:eastAsia="zh-CN"/>
        </w:rPr>
        <w:t>2023年共</w:t>
      </w:r>
      <w:r>
        <w:rPr>
          <w:rFonts w:hint="eastAsia" w:ascii="Times New Roman" w:hAnsi="Times New Roman" w:eastAsia="仿宋_GB2312" w:cs="Times New Roman"/>
          <w:sz w:val="32"/>
          <w:szCs w:val="32"/>
          <w:highlight w:val="none"/>
        </w:rPr>
        <w:t>清理垃圾死角</w:t>
      </w:r>
      <w:r>
        <w:rPr>
          <w:rFonts w:hint="eastAsia" w:ascii="Times New Roman" w:hAnsi="Times New Roman" w:eastAsia="仿宋_GB2312" w:cs="Times New Roman"/>
          <w:sz w:val="32"/>
          <w:szCs w:val="32"/>
          <w:highlight w:val="none"/>
          <w:lang w:val="en-US" w:eastAsia="zh-CN"/>
        </w:rPr>
        <w:t>51</w:t>
      </w:r>
      <w:r>
        <w:rPr>
          <w:rFonts w:hint="eastAsia" w:ascii="Times New Roman" w:hAnsi="Times New Roman" w:eastAsia="仿宋_GB2312" w:cs="Times New Roman"/>
          <w:sz w:val="32"/>
          <w:szCs w:val="32"/>
          <w:highlight w:val="none"/>
        </w:rPr>
        <w:t>处、水篦</w:t>
      </w:r>
      <w:r>
        <w:rPr>
          <w:rFonts w:hint="eastAsia" w:ascii="Times New Roman" w:hAnsi="Times New Roman" w:eastAsia="仿宋_GB2312" w:cs="Times New Roman"/>
          <w:sz w:val="32"/>
          <w:szCs w:val="32"/>
          <w:highlight w:val="none"/>
          <w:lang w:val="en-US" w:eastAsia="zh-CN"/>
        </w:rPr>
        <w:t>8</w:t>
      </w:r>
      <w:r>
        <w:rPr>
          <w:rFonts w:hint="eastAsia" w:ascii="Times New Roman" w:hAnsi="Times New Roman" w:eastAsia="仿宋_GB2312" w:cs="Times New Roman"/>
          <w:sz w:val="32"/>
          <w:szCs w:val="32"/>
          <w:highlight w:val="none"/>
        </w:rPr>
        <w:t>0个、工地带</w:t>
      </w:r>
      <w:r>
        <w:rPr>
          <w:rFonts w:hint="eastAsia" w:ascii="Times New Roman" w:hAnsi="Times New Roman" w:eastAsia="仿宋_GB2312" w:cs="Times New Roman"/>
          <w:sz w:val="32"/>
          <w:szCs w:val="32"/>
          <w:highlight w:val="none"/>
          <w:lang w:val="en-US" w:eastAsia="zh-CN"/>
        </w:rPr>
        <w:t>泥80</w:t>
      </w:r>
      <w:r>
        <w:rPr>
          <w:rFonts w:hint="eastAsia" w:ascii="Times New Roman" w:hAnsi="Times New Roman" w:eastAsia="仿宋_GB2312" w:cs="Times New Roman"/>
          <w:sz w:val="32"/>
          <w:szCs w:val="32"/>
          <w:highlight w:val="none"/>
        </w:rPr>
        <w:t>起</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清洗车位</w:t>
      </w:r>
      <w:r>
        <w:rPr>
          <w:rFonts w:hint="eastAsia" w:ascii="Times New Roman" w:hAnsi="Times New Roman" w:eastAsia="仿宋_GB2312" w:cs="Times New Roman"/>
          <w:sz w:val="32"/>
          <w:szCs w:val="32"/>
          <w:highlight w:val="none"/>
          <w:lang w:val="en-US" w:eastAsia="zh-CN"/>
        </w:rPr>
        <w:t>92</w:t>
      </w:r>
      <w:r>
        <w:rPr>
          <w:rFonts w:hint="eastAsia" w:ascii="Times New Roman" w:hAnsi="Times New Roman" w:eastAsia="仿宋_GB2312" w:cs="Times New Roman"/>
          <w:sz w:val="32"/>
          <w:szCs w:val="32"/>
          <w:highlight w:val="none"/>
        </w:rPr>
        <w:t>0个、垃圾桶站</w:t>
      </w:r>
      <w:r>
        <w:rPr>
          <w:rFonts w:hint="eastAsia" w:ascii="Times New Roman" w:hAnsi="Times New Roman" w:eastAsia="仿宋_GB2312" w:cs="Times New Roman"/>
          <w:sz w:val="32"/>
          <w:szCs w:val="32"/>
          <w:highlight w:val="none"/>
          <w:lang w:val="en-US" w:eastAsia="zh-CN"/>
        </w:rPr>
        <w:t>85</w:t>
      </w:r>
      <w:r>
        <w:rPr>
          <w:rFonts w:hint="eastAsia" w:ascii="Times New Roman" w:hAnsi="Times New Roman" w:eastAsia="仿宋_GB2312" w:cs="Times New Roman"/>
          <w:sz w:val="32"/>
          <w:szCs w:val="32"/>
          <w:highlight w:val="none"/>
        </w:rPr>
        <w:t>处、路面油污</w:t>
      </w:r>
      <w:r>
        <w:rPr>
          <w:rFonts w:hint="eastAsia" w:ascii="Times New Roman" w:hAnsi="Times New Roman" w:eastAsia="仿宋_GB2312" w:cs="Times New Roman"/>
          <w:sz w:val="32"/>
          <w:szCs w:val="32"/>
          <w:highlight w:val="none"/>
          <w:lang w:val="en-US" w:eastAsia="zh-CN"/>
        </w:rPr>
        <w:t>13</w:t>
      </w:r>
      <w:r>
        <w:rPr>
          <w:rFonts w:hint="eastAsia" w:ascii="Times New Roman" w:hAnsi="Times New Roman" w:eastAsia="仿宋_GB2312" w:cs="Times New Roman"/>
          <w:sz w:val="32"/>
          <w:szCs w:val="32"/>
          <w:highlight w:val="none"/>
        </w:rPr>
        <w:t>00平方米</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全</w:t>
      </w:r>
      <w:r>
        <w:rPr>
          <w:rFonts w:hint="eastAsia" w:ascii="Times New Roman" w:hAnsi="Times New Roman" w:eastAsia="仿宋_GB2312" w:cs="Times New Roman"/>
          <w:sz w:val="32"/>
          <w:szCs w:val="32"/>
          <w:highlight w:val="none"/>
        </w:rPr>
        <w:t>年累计清运生活垃圾约</w:t>
      </w:r>
      <w:r>
        <w:rPr>
          <w:rFonts w:hint="eastAsia" w:ascii="Times New Roman" w:hAnsi="Times New Roman" w:eastAsia="仿宋_GB2312" w:cs="Times New Roman"/>
          <w:sz w:val="32"/>
          <w:szCs w:val="32"/>
          <w:highlight w:val="none"/>
          <w:lang w:val="en-US" w:eastAsia="zh-CN"/>
        </w:rPr>
        <w:t>86</w:t>
      </w:r>
      <w:r>
        <w:rPr>
          <w:rFonts w:hint="eastAsia" w:ascii="Times New Roman" w:hAnsi="Times New Roman" w:eastAsia="仿宋_GB2312" w:cs="Times New Roman"/>
          <w:sz w:val="32"/>
          <w:szCs w:val="32"/>
          <w:highlight w:val="none"/>
        </w:rPr>
        <w:t>00</w:t>
      </w:r>
      <w:r>
        <w:rPr>
          <w:rFonts w:hint="eastAsia" w:ascii="Times New Roman" w:hAnsi="Times New Roman" w:eastAsia="仿宋_GB2312" w:cs="Times New Roman"/>
          <w:sz w:val="32"/>
          <w:szCs w:val="32"/>
          <w:highlight w:val="none"/>
          <w:lang w:eastAsia="zh-CN"/>
        </w:rPr>
        <w:t>余</w:t>
      </w:r>
      <w:r>
        <w:rPr>
          <w:rFonts w:hint="eastAsia" w:ascii="Times New Roman" w:hAnsi="Times New Roman" w:eastAsia="仿宋_GB2312" w:cs="Times New Roman"/>
          <w:sz w:val="32"/>
          <w:szCs w:val="32"/>
          <w:highlight w:val="none"/>
        </w:rPr>
        <w:t>吨</w:t>
      </w:r>
      <w:r>
        <w:rPr>
          <w:rFonts w:hint="eastAsia" w:ascii="Times New Roman" w:hAnsi="Times New Roman" w:eastAsia="仿宋_GB2312" w:cs="Times New Roman"/>
          <w:sz w:val="32"/>
          <w:szCs w:val="32"/>
          <w:highlight w:val="none"/>
          <w:lang w:eastAsia="zh-CN"/>
        </w:rPr>
        <w:t>、厨余垃圾约</w:t>
      </w:r>
      <w:r>
        <w:rPr>
          <w:rFonts w:hint="eastAsia" w:ascii="Times New Roman" w:hAnsi="Times New Roman" w:eastAsia="仿宋_GB2312" w:cs="Times New Roman"/>
          <w:sz w:val="32"/>
          <w:szCs w:val="32"/>
          <w:highlight w:val="none"/>
          <w:lang w:val="en-US" w:eastAsia="zh-CN"/>
        </w:rPr>
        <w:t>1000余吨。</w:t>
      </w:r>
      <w:r>
        <w:rPr>
          <w:rFonts w:hint="eastAsia" w:ascii="Times New Roman" w:hAnsi="Times New Roman" w:eastAsia="仿宋_GB2312" w:cs="Times New Roman"/>
          <w:sz w:val="32"/>
          <w:szCs w:val="32"/>
          <w:highlight w:val="none"/>
          <w:lang w:eastAsia="zh-CN"/>
        </w:rPr>
        <w:t>在</w:t>
      </w:r>
      <w:r>
        <w:rPr>
          <w:rFonts w:hint="eastAsia" w:ascii="Times New Roman" w:hAnsi="Times New Roman" w:eastAsia="仿宋_GB2312" w:cs="Times New Roman"/>
          <w:sz w:val="32"/>
          <w:szCs w:val="32"/>
          <w:highlight w:val="none"/>
          <w:lang w:val="en-US" w:eastAsia="zh-CN"/>
        </w:rPr>
        <w:t>2023</w:t>
      </w:r>
      <w:r>
        <w:rPr>
          <w:rFonts w:hint="eastAsia" w:ascii="Times New Roman" w:hAnsi="Times New Roman" w:eastAsia="仿宋_GB2312" w:cs="Times New Roman"/>
          <w:sz w:val="32"/>
          <w:szCs w:val="32"/>
          <w:highlight w:val="none"/>
          <w:lang w:eastAsia="zh-CN"/>
        </w:rPr>
        <w:t>年</w:t>
      </w:r>
      <w:r>
        <w:rPr>
          <w:rFonts w:hint="eastAsia" w:ascii="Times New Roman" w:hAnsi="Times New Roman" w:eastAsia="仿宋_GB2312" w:cs="Times New Roman"/>
          <w:sz w:val="32"/>
          <w:szCs w:val="32"/>
          <w:highlight w:val="none"/>
          <w:lang w:val="en-US" w:eastAsia="zh-CN"/>
        </w:rPr>
        <w:t>2月份组织出动人员1000余次除雪，抛洒融雪剂约34.5吨。2023年10月26日在忻州市环境卫生协会庆祝山西省第二十七个“环卫工人节”表彰大会上，建设环保管理部被评选为先进集体。</w:t>
      </w:r>
    </w:p>
    <w:p w14:paraId="492FD376">
      <w:pPr>
        <w:keepNext w:val="0"/>
        <w:keepLines w:val="0"/>
        <w:pageBreakBefore w:val="0"/>
        <w:widowControl w:val="0"/>
        <w:numPr>
          <w:ilvl w:val="0"/>
          <w:numId w:val="0"/>
        </w:numPr>
        <w:kinsoku/>
        <w:wordWrap/>
        <w:overflowPunct w:val="0"/>
        <w:topLinePunct w:val="0"/>
        <w:bidi w:val="0"/>
        <w:spacing w:line="360" w:lineRule="auto"/>
        <w:ind w:firstLine="640" w:firstLineChars="200"/>
        <w:jc w:val="both"/>
        <w:rPr>
          <w:rFonts w:hint="eastAsia" w:ascii="黑体" w:hAnsi="黑体" w:eastAsia="黑体" w:cs="宋体"/>
          <w:kern w:val="0"/>
          <w:sz w:val="32"/>
          <w:szCs w:val="32"/>
          <w:highlight w:val="none"/>
          <w:lang w:val="en-US" w:eastAsia="zh-CN"/>
        </w:rPr>
      </w:pPr>
      <w:r>
        <w:rPr>
          <w:rFonts w:hint="eastAsia" w:ascii="黑体" w:hAnsi="黑体" w:eastAsia="黑体" w:cs="宋体"/>
          <w:kern w:val="0"/>
          <w:sz w:val="32"/>
          <w:szCs w:val="32"/>
          <w:highlight w:val="none"/>
          <w:lang w:val="en-US" w:eastAsia="zh-CN"/>
        </w:rPr>
        <w:t>四、存在的问题及原因分析</w:t>
      </w:r>
    </w:p>
    <w:p w14:paraId="639DB39D">
      <w:pPr>
        <w:keepNext w:val="0"/>
        <w:keepLines w:val="0"/>
        <w:pageBreakBefore w:val="0"/>
        <w:widowControl w:val="0"/>
        <w:kinsoku/>
        <w:wordWrap/>
        <w:overflowPunct w:val="0"/>
        <w:topLinePunct w:val="0"/>
        <w:autoSpaceDE/>
        <w:autoSpaceDN/>
        <w:bidi w:val="0"/>
        <w:adjustRightInd/>
        <w:snapToGrid/>
        <w:spacing w:line="360" w:lineRule="auto"/>
        <w:ind w:firstLine="640" w:firstLineChars="200"/>
        <w:jc w:val="both"/>
        <w:textAlignment w:val="auto"/>
        <w:rPr>
          <w:rFonts w:hint="eastAsia" w:eastAsia="楷体" w:cs="仿宋_GB2312"/>
          <w:bCs/>
          <w:sz w:val="32"/>
          <w:szCs w:val="32"/>
          <w:highlight w:val="none"/>
        </w:rPr>
      </w:pPr>
      <w:r>
        <w:rPr>
          <w:rFonts w:hint="eastAsia" w:eastAsia="楷体" w:cs="仿宋_GB2312"/>
          <w:bCs/>
          <w:sz w:val="32"/>
          <w:szCs w:val="32"/>
          <w:highlight w:val="none"/>
        </w:rPr>
        <w:t>（</w:t>
      </w:r>
      <w:r>
        <w:rPr>
          <w:rFonts w:hint="eastAsia" w:eastAsia="楷体" w:cs="仿宋_GB2312"/>
          <w:bCs/>
          <w:sz w:val="32"/>
          <w:szCs w:val="32"/>
          <w:highlight w:val="none"/>
          <w:lang w:val="en-US" w:eastAsia="zh-CN"/>
        </w:rPr>
        <w:t>一</w:t>
      </w:r>
      <w:r>
        <w:rPr>
          <w:rFonts w:hint="eastAsia" w:eastAsia="楷体" w:cs="仿宋_GB2312"/>
          <w:bCs/>
          <w:sz w:val="32"/>
          <w:szCs w:val="32"/>
          <w:highlight w:val="none"/>
        </w:rPr>
        <w:t>）预算</w:t>
      </w:r>
      <w:r>
        <w:rPr>
          <w:rFonts w:hint="eastAsia" w:eastAsia="楷体" w:cs="仿宋_GB2312"/>
          <w:bCs/>
          <w:sz w:val="32"/>
          <w:szCs w:val="32"/>
          <w:highlight w:val="none"/>
          <w:lang w:val="en-US" w:eastAsia="zh-CN"/>
        </w:rPr>
        <w:t>编制及分配有待进一步加强</w:t>
      </w:r>
      <w:r>
        <w:rPr>
          <w:rFonts w:hint="eastAsia" w:eastAsia="楷体" w:cs="仿宋_GB2312"/>
          <w:bCs/>
          <w:sz w:val="32"/>
          <w:szCs w:val="32"/>
          <w:highlight w:val="none"/>
        </w:rPr>
        <w:t>。</w:t>
      </w:r>
      <w:r>
        <w:rPr>
          <w:rFonts w:hint="eastAsia" w:ascii="Times New Roman" w:hAnsi="Times New Roman" w:eastAsia="仿宋_GB2312" w:cs="仿宋_GB2312"/>
          <w:sz w:val="32"/>
          <w:szCs w:val="32"/>
          <w:highlight w:val="none"/>
          <w:lang w:val="en-US" w:eastAsia="zh-CN"/>
        </w:rPr>
        <w:t>一是项目实施单位在预算编制过程中，未对当年预算金额进行充分论证、预算测算依据不够充分，导致项目实施过程中预算发生较大调整，</w:t>
      </w:r>
      <w:r>
        <w:rPr>
          <w:rFonts w:hint="eastAsia" w:eastAsia="仿宋_GB2312" w:cs="仿宋_GB2312"/>
          <w:sz w:val="32"/>
          <w:szCs w:val="32"/>
          <w:highlight w:val="none"/>
          <w:lang w:val="en-US" w:eastAsia="zh-CN"/>
        </w:rPr>
        <w:t>调整后预算项目支出17150.53万元，较年初13693.26万元调增3457.27万元</w:t>
      </w:r>
      <w:r>
        <w:rPr>
          <w:rFonts w:hint="eastAsia" w:eastAsia="仿宋_GB2312" w:cs="仿宋_GB2312"/>
          <w:color w:val="auto"/>
          <w:sz w:val="32"/>
          <w:szCs w:val="32"/>
          <w:highlight w:val="none"/>
          <w:lang w:val="en-US" w:eastAsia="zh-CN"/>
        </w:rPr>
        <w:t>（9个项目较年初预算调减594.7万元、7个项目较年初预算调增4051.97万元）；二是调整后预算仍与决算存在较大差异，调整后预算支出</w:t>
      </w:r>
      <w:r>
        <w:rPr>
          <w:rFonts w:hint="eastAsia" w:eastAsia="仿宋_GB2312" w:cs="仿宋_GB2312"/>
          <w:color w:val="auto"/>
          <w:sz w:val="32"/>
          <w:szCs w:val="32"/>
          <w:highlight w:val="none"/>
        </w:rPr>
        <w:t>18069.75</w:t>
      </w:r>
      <w:r>
        <w:rPr>
          <w:rFonts w:hint="eastAsia" w:eastAsia="仿宋_GB2312" w:cs="仿宋_GB2312"/>
          <w:color w:val="auto"/>
          <w:sz w:val="32"/>
          <w:szCs w:val="32"/>
          <w:highlight w:val="none"/>
          <w:lang w:val="en-US" w:eastAsia="zh-CN"/>
        </w:rPr>
        <w:t>万元，其中：</w:t>
      </w:r>
      <w:r>
        <w:rPr>
          <w:rFonts w:hint="eastAsia" w:eastAsia="仿宋_GB2312" w:cs="仿宋_GB2312"/>
          <w:sz w:val="32"/>
          <w:szCs w:val="32"/>
          <w:highlight w:val="none"/>
        </w:rPr>
        <w:t>基本支出</w:t>
      </w:r>
      <w:r>
        <w:rPr>
          <w:rFonts w:hint="eastAsia" w:eastAsia="仿宋_GB2312" w:cs="仿宋_GB2312"/>
          <w:sz w:val="32"/>
          <w:szCs w:val="32"/>
          <w:highlight w:val="none"/>
          <w:lang w:val="en-US" w:eastAsia="zh-CN"/>
        </w:rPr>
        <w:t>919.22</w:t>
      </w:r>
      <w:r>
        <w:rPr>
          <w:rFonts w:hint="eastAsia" w:eastAsia="仿宋_GB2312" w:cs="仿宋_GB2312"/>
          <w:sz w:val="32"/>
          <w:szCs w:val="32"/>
          <w:highlight w:val="none"/>
        </w:rPr>
        <w:t>万元，</w:t>
      </w:r>
      <w:r>
        <w:rPr>
          <w:rFonts w:hint="eastAsia" w:eastAsia="仿宋_GB2312" w:cs="仿宋_GB2312"/>
          <w:sz w:val="32"/>
          <w:szCs w:val="32"/>
          <w:highlight w:val="none"/>
          <w:lang w:val="en-US" w:eastAsia="zh-CN"/>
        </w:rPr>
        <w:t>项目支出17150.53万元，</w:t>
      </w:r>
      <w:r>
        <w:rPr>
          <w:rFonts w:hint="eastAsia" w:eastAsia="仿宋_GB2312" w:cs="仿宋_GB2312"/>
          <w:color w:val="000000"/>
          <w:sz w:val="32"/>
          <w:szCs w:val="32"/>
          <w:highlight w:val="none"/>
        </w:rPr>
        <w:t>决算</w:t>
      </w:r>
      <w:r>
        <w:rPr>
          <w:rFonts w:hint="eastAsia" w:ascii="Times New Roman" w:hAnsi="Times New Roman" w:eastAsia="仿宋_GB2312" w:cs="仿宋_GB2312"/>
          <w:color w:val="auto"/>
          <w:sz w:val="32"/>
          <w:szCs w:val="32"/>
          <w:highlight w:val="none"/>
        </w:rPr>
        <w:t>支出</w:t>
      </w:r>
      <w:r>
        <w:rPr>
          <w:rFonts w:hint="eastAsia" w:ascii="Times New Roman" w:hAnsi="Times New Roman" w:eastAsia="仿宋_GB2312" w:cs="仿宋_GB2312"/>
          <w:color w:val="auto"/>
          <w:sz w:val="32"/>
          <w:szCs w:val="32"/>
          <w:highlight w:val="none"/>
          <w:lang w:val="en-US" w:eastAsia="zh-CN"/>
        </w:rPr>
        <w:t>9870.03</w:t>
      </w:r>
      <w:r>
        <w:rPr>
          <w:rFonts w:hint="eastAsia" w:ascii="Times New Roman" w:hAnsi="Times New Roman" w:eastAsia="仿宋_GB2312" w:cs="仿宋_GB2312"/>
          <w:color w:val="auto"/>
          <w:sz w:val="32"/>
          <w:szCs w:val="32"/>
          <w:highlight w:val="none"/>
        </w:rPr>
        <w:t>万元</w:t>
      </w:r>
      <w:r>
        <w:rPr>
          <w:rFonts w:hint="eastAsia" w:eastAsia="仿宋_GB2312" w:cs="仿宋_GB2312"/>
          <w:color w:val="000000"/>
          <w:sz w:val="32"/>
          <w:szCs w:val="32"/>
          <w:highlight w:val="none"/>
        </w:rPr>
        <w:t>，其中：基本支出</w:t>
      </w:r>
      <w:r>
        <w:rPr>
          <w:rFonts w:hint="eastAsia" w:eastAsia="仿宋_GB2312" w:cs="仿宋_GB2312"/>
          <w:sz w:val="32"/>
          <w:szCs w:val="32"/>
          <w:highlight w:val="none"/>
          <w:lang w:val="en-US" w:eastAsia="zh-CN"/>
        </w:rPr>
        <w:t>608.07</w:t>
      </w:r>
      <w:r>
        <w:rPr>
          <w:rFonts w:hint="eastAsia" w:eastAsia="仿宋_GB2312" w:cs="仿宋_GB2312"/>
          <w:color w:val="000000"/>
          <w:sz w:val="32"/>
          <w:szCs w:val="32"/>
          <w:highlight w:val="none"/>
        </w:rPr>
        <w:t>万元，项目支出</w:t>
      </w:r>
      <w:r>
        <w:rPr>
          <w:rFonts w:hint="eastAsia" w:eastAsia="仿宋_GB2312" w:cs="仿宋_GB2312"/>
          <w:sz w:val="32"/>
          <w:szCs w:val="32"/>
          <w:highlight w:val="none"/>
          <w:lang w:val="en-US" w:eastAsia="zh-CN"/>
        </w:rPr>
        <w:t>9261.96</w:t>
      </w:r>
      <w:r>
        <w:rPr>
          <w:rFonts w:hint="eastAsia" w:eastAsia="仿宋_GB2312" w:cs="仿宋_GB2312"/>
          <w:color w:val="000000"/>
          <w:sz w:val="32"/>
          <w:szCs w:val="32"/>
          <w:highlight w:val="none"/>
        </w:rPr>
        <w:t>万元</w:t>
      </w:r>
      <w:r>
        <w:rPr>
          <w:rFonts w:hint="eastAsia" w:eastAsia="仿宋_GB2312" w:cs="仿宋_GB2312"/>
          <w:color w:val="000000"/>
          <w:sz w:val="32"/>
          <w:szCs w:val="32"/>
          <w:highlight w:val="none"/>
          <w:lang w:eastAsia="zh-CN"/>
        </w:rPr>
        <w:t>；</w:t>
      </w:r>
      <w:r>
        <w:rPr>
          <w:rFonts w:hint="eastAsia" w:eastAsia="仿宋_GB2312" w:cs="仿宋_GB2312"/>
          <w:color w:val="000000"/>
          <w:sz w:val="32"/>
          <w:szCs w:val="32"/>
          <w:highlight w:val="none"/>
          <w:lang w:val="en-US" w:eastAsia="zh-CN"/>
        </w:rPr>
        <w:t>三是预算项目安排有待进一步规范。</w:t>
      </w:r>
      <w:r>
        <w:rPr>
          <w:rFonts w:hint="eastAsia" w:eastAsia="仿宋_GB2312" w:cs="仿宋_GB2312"/>
          <w:sz w:val="32"/>
          <w:szCs w:val="32"/>
          <w:highlight w:val="none"/>
          <w:lang w:val="en-US" w:eastAsia="zh-CN"/>
        </w:rPr>
        <w:t>评价组在现场核查过程中发现，项目实施单位预算分配较为片面，如项目支出中列支“融雪剂”“环卫工具”“劳保用品”“环协会费”“环卫服装”“道路牌”等项目，将同一项目按经济科目不同拆分至多个项目。</w:t>
      </w:r>
      <w:r>
        <w:rPr>
          <w:rFonts w:hint="eastAsia" w:eastAsia="仿宋_GB2312" w:cs="仿宋_GB2312"/>
          <w:color w:val="000000"/>
          <w:sz w:val="32"/>
          <w:szCs w:val="32"/>
          <w:highlight w:val="none"/>
          <w:lang w:val="en-US" w:eastAsia="zh-CN"/>
        </w:rPr>
        <w:t>项目实施单位在调整过程中未能充分结合当年项目实施情况及资金安排，项目实施单位预算编制及分配有待进一步加强。</w:t>
      </w:r>
    </w:p>
    <w:p w14:paraId="79FDB339">
      <w:pPr>
        <w:keepNext w:val="0"/>
        <w:keepLines w:val="0"/>
        <w:pageBreakBefore w:val="0"/>
        <w:widowControl w:val="0"/>
        <w:kinsoku/>
        <w:wordWrap/>
        <w:overflowPunct w:val="0"/>
        <w:topLinePunct w:val="0"/>
        <w:bidi w:val="0"/>
        <w:spacing w:line="360" w:lineRule="auto"/>
        <w:ind w:firstLine="640" w:firstLineChars="200"/>
        <w:jc w:val="both"/>
        <w:rPr>
          <w:rFonts w:hint="default" w:eastAsia="仿宋_GB2312" w:cs="仿宋_GB2312"/>
          <w:sz w:val="32"/>
          <w:szCs w:val="32"/>
          <w:highlight w:val="none"/>
          <w:lang w:val="en-US" w:eastAsia="zh-CN"/>
        </w:rPr>
      </w:pPr>
      <w:r>
        <w:rPr>
          <w:rFonts w:hint="eastAsia" w:eastAsia="楷体" w:cs="仿宋_GB2312"/>
          <w:bCs/>
          <w:sz w:val="32"/>
          <w:szCs w:val="32"/>
          <w:highlight w:val="none"/>
        </w:rPr>
        <w:t>（</w:t>
      </w:r>
      <w:r>
        <w:rPr>
          <w:rFonts w:hint="eastAsia" w:eastAsia="楷体" w:cs="仿宋_GB2312"/>
          <w:bCs/>
          <w:sz w:val="32"/>
          <w:szCs w:val="32"/>
          <w:highlight w:val="none"/>
          <w:lang w:val="en-US" w:eastAsia="zh-CN"/>
        </w:rPr>
        <w:t>二</w:t>
      </w:r>
      <w:r>
        <w:rPr>
          <w:rFonts w:hint="eastAsia" w:eastAsia="楷体" w:cs="仿宋_GB2312"/>
          <w:bCs/>
          <w:sz w:val="32"/>
          <w:szCs w:val="32"/>
          <w:highlight w:val="none"/>
        </w:rPr>
        <w:t>）预算执行管理有待提高。</w:t>
      </w:r>
      <w:r>
        <w:rPr>
          <w:rFonts w:hint="eastAsia" w:eastAsia="仿宋_GB2312" w:cs="仿宋_GB2312"/>
          <w:bCs/>
          <w:sz w:val="32"/>
          <w:szCs w:val="32"/>
          <w:highlight w:val="none"/>
          <w:lang w:eastAsia="zh-CN"/>
        </w:rPr>
        <w:t>忻州经济开发区管理委员会建设环保管理部</w:t>
      </w:r>
      <w:r>
        <w:rPr>
          <w:rFonts w:hint="eastAsia" w:eastAsia="仿宋_GB2312" w:cs="仿宋_GB2312"/>
          <w:bCs/>
          <w:sz w:val="32"/>
          <w:szCs w:val="32"/>
          <w:highlight w:val="none"/>
        </w:rPr>
        <w:t>预算管理未达到预期标准，主要表现为：一是资金支付不够均衡。四个季度的平均支付进度为</w:t>
      </w:r>
      <w:r>
        <w:rPr>
          <w:rFonts w:hint="eastAsia" w:eastAsia="仿宋_GB2312" w:cs="仿宋_GB2312"/>
          <w:bCs/>
          <w:sz w:val="32"/>
          <w:szCs w:val="32"/>
          <w:highlight w:val="none"/>
          <w:lang w:val="en-US" w:eastAsia="zh-CN"/>
        </w:rPr>
        <w:t>76.99</w:t>
      </w:r>
      <w:r>
        <w:rPr>
          <w:rFonts w:hint="eastAsia" w:eastAsia="仿宋_GB2312" w:cs="仿宋_GB2312"/>
          <w:bCs/>
          <w:sz w:val="32"/>
          <w:szCs w:val="32"/>
          <w:highlight w:val="none"/>
        </w:rPr>
        <w:t>%，</w:t>
      </w:r>
      <w:r>
        <w:rPr>
          <w:rFonts w:hint="eastAsia" w:eastAsia="仿宋_GB2312" w:cs="仿宋_GB2312"/>
          <w:bCs/>
          <w:sz w:val="32"/>
          <w:szCs w:val="32"/>
          <w:highlight w:val="none"/>
          <w:lang w:val="en-US" w:eastAsia="zh-CN"/>
        </w:rPr>
        <w:t>存在6月-7月突击支付的情况</w:t>
      </w:r>
      <w:r>
        <w:rPr>
          <w:rFonts w:hint="eastAsia" w:eastAsia="仿宋_GB2312" w:cs="仿宋_GB2312"/>
          <w:bCs/>
          <w:sz w:val="32"/>
          <w:szCs w:val="32"/>
          <w:highlight w:val="none"/>
        </w:rPr>
        <w:t>；二是预算调整率为</w:t>
      </w:r>
      <w:r>
        <w:rPr>
          <w:rFonts w:hint="eastAsia" w:eastAsia="仿宋_GB2312" w:cs="仿宋_GB2312"/>
          <w:bCs/>
          <w:sz w:val="32"/>
          <w:szCs w:val="32"/>
          <w:highlight w:val="none"/>
          <w:lang w:val="en-US" w:eastAsia="zh-CN"/>
        </w:rPr>
        <w:t>23.66</w:t>
      </w:r>
      <w:r>
        <w:rPr>
          <w:rFonts w:hint="eastAsia" w:eastAsia="仿宋_GB2312" w:cs="仿宋_GB2312"/>
          <w:bCs/>
          <w:sz w:val="32"/>
          <w:szCs w:val="32"/>
          <w:highlight w:val="none"/>
        </w:rPr>
        <w:t>%，主要表现为9个项目较年初预算调减594.7万元、7个项目较年初预算调增4051.97万元</w:t>
      </w:r>
      <w:r>
        <w:rPr>
          <w:rFonts w:hint="eastAsia" w:eastAsia="仿宋_GB2312" w:cs="仿宋_GB2312"/>
          <w:bCs/>
          <w:sz w:val="32"/>
          <w:szCs w:val="32"/>
          <w:highlight w:val="none"/>
          <w:lang w:eastAsia="zh-CN"/>
        </w:rPr>
        <w:t>；</w:t>
      </w:r>
      <w:r>
        <w:rPr>
          <w:rFonts w:hint="eastAsia" w:eastAsia="仿宋_GB2312" w:cs="仿宋_GB2312"/>
          <w:bCs/>
          <w:sz w:val="32"/>
          <w:szCs w:val="32"/>
          <w:highlight w:val="none"/>
          <w:lang w:val="en-US" w:eastAsia="zh-CN"/>
        </w:rPr>
        <w:t>三是项目预算完成率不高，项目决算支出9870.03万元、调整后预算收入18069.75万元，预算完成率54.62%，主要表现在云中消防站建设、煤化工循环经济园区基础设施配套项目、2022-2023年度供热补贴、移动公厕供热工程建设等22个项目预算完成率均低于60%，其中8个项目预算执行率为0%，项目实施单位年初编制预算过程中未能充分考虑当年项目实施进度。</w:t>
      </w:r>
    </w:p>
    <w:p w14:paraId="7154CC7C">
      <w:pPr>
        <w:keepNext w:val="0"/>
        <w:keepLines w:val="0"/>
        <w:pageBreakBefore w:val="0"/>
        <w:widowControl w:val="0"/>
        <w:kinsoku/>
        <w:wordWrap/>
        <w:overflowPunct w:val="0"/>
        <w:topLinePunct w:val="0"/>
        <w:bidi w:val="0"/>
        <w:spacing w:line="360" w:lineRule="auto"/>
        <w:ind w:firstLine="640" w:firstLineChars="200"/>
        <w:jc w:val="both"/>
        <w:rPr>
          <w:rFonts w:hint="eastAsia" w:ascii="Times New Roman" w:hAnsi="Times New Roman" w:eastAsia="仿宋_GB2312"/>
          <w:sz w:val="32"/>
          <w:szCs w:val="32"/>
          <w:highlight w:val="none"/>
          <w:lang w:val="en-US" w:eastAsia="zh-CN"/>
        </w:rPr>
      </w:pPr>
      <w:r>
        <w:rPr>
          <w:rFonts w:hint="eastAsia" w:ascii="Times New Roman" w:hAnsi="Times New Roman" w:eastAsia="楷体" w:cs="仿宋_GB2312"/>
          <w:bCs/>
          <w:sz w:val="32"/>
          <w:szCs w:val="32"/>
          <w:highlight w:val="none"/>
          <w:lang w:eastAsia="zh-CN"/>
        </w:rPr>
        <w:t>（</w:t>
      </w:r>
      <w:r>
        <w:rPr>
          <w:rFonts w:hint="eastAsia" w:eastAsia="楷体" w:cs="仿宋_GB2312"/>
          <w:bCs/>
          <w:sz w:val="32"/>
          <w:szCs w:val="32"/>
          <w:highlight w:val="none"/>
          <w:lang w:val="en-US" w:eastAsia="zh-CN"/>
        </w:rPr>
        <w:t>三</w:t>
      </w:r>
      <w:r>
        <w:rPr>
          <w:rFonts w:hint="eastAsia" w:ascii="Times New Roman" w:hAnsi="Times New Roman" w:eastAsia="楷体" w:cs="仿宋_GB2312"/>
          <w:bCs/>
          <w:sz w:val="32"/>
          <w:szCs w:val="32"/>
          <w:highlight w:val="none"/>
          <w:lang w:val="en-US" w:eastAsia="zh-CN"/>
        </w:rPr>
        <w:t>）项目预算绩效管理存在不足。</w:t>
      </w:r>
      <w:r>
        <w:rPr>
          <w:rFonts w:hint="eastAsia" w:ascii="Times New Roman" w:hAnsi="Times New Roman" w:eastAsia="仿宋_GB2312" w:cs="仿宋_GB2312"/>
          <w:sz w:val="32"/>
          <w:szCs w:val="32"/>
          <w:highlight w:val="none"/>
          <w:lang w:val="en-US" w:eastAsia="zh-CN"/>
        </w:rPr>
        <w:t>项目实施单位</w:t>
      </w:r>
      <w:r>
        <w:rPr>
          <w:rFonts w:hint="eastAsia" w:ascii="Times New Roman" w:hAnsi="Times New Roman" w:eastAsia="仿宋_GB2312" w:cs="仿宋_GB2312"/>
          <w:sz w:val="32"/>
          <w:szCs w:val="32"/>
          <w:highlight w:val="none"/>
        </w:rPr>
        <w:t>根据</w:t>
      </w:r>
      <w:r>
        <w:rPr>
          <w:rFonts w:hint="eastAsia" w:ascii="Times New Roman" w:hAnsi="Times New Roman" w:eastAsia="仿宋_GB2312" w:cs="仿宋_GB2312"/>
          <w:sz w:val="32"/>
          <w:szCs w:val="32"/>
          <w:highlight w:val="none"/>
          <w:lang w:eastAsia="zh-CN"/>
        </w:rPr>
        <w:t>忻州经济开发区管理委员会财政管理运营部</w:t>
      </w:r>
      <w:r>
        <w:rPr>
          <w:rFonts w:hint="eastAsia" w:ascii="Times New Roman" w:hAnsi="Times New Roman" w:eastAsia="仿宋_GB2312" w:cs="仿宋_GB2312"/>
          <w:sz w:val="32"/>
          <w:szCs w:val="32"/>
          <w:highlight w:val="none"/>
        </w:rPr>
        <w:t>2023年部门预算编制对预算资金支出绩效目标的要求，编制完成了</w:t>
      </w:r>
      <w:r>
        <w:rPr>
          <w:rFonts w:hint="eastAsia" w:ascii="Times New Roman" w:hAnsi="Times New Roman" w:eastAsia="仿宋_GB2312" w:cs="仿宋_GB2312"/>
          <w:sz w:val="32"/>
          <w:szCs w:val="32"/>
          <w:highlight w:val="none"/>
          <w:lang w:val="en-US" w:eastAsia="zh-CN"/>
        </w:rPr>
        <w:t>30</w:t>
      </w:r>
      <w:r>
        <w:rPr>
          <w:rFonts w:hint="eastAsia" w:ascii="Times New Roman" w:hAnsi="Times New Roman" w:eastAsia="仿宋_GB2312" w:cs="仿宋_GB2312"/>
          <w:sz w:val="32"/>
          <w:szCs w:val="32"/>
          <w:highlight w:val="none"/>
        </w:rPr>
        <w:t>个项目绩效目标申报表</w:t>
      </w:r>
      <w:r>
        <w:rPr>
          <w:rFonts w:hint="eastAsia" w:ascii="Times New Roman" w:hAnsi="Times New Roman" w:eastAsia="仿宋_GB2312" w:cs="仿宋_GB2312"/>
          <w:sz w:val="32"/>
          <w:szCs w:val="32"/>
          <w:highlight w:val="none"/>
          <w:lang w:eastAsia="zh-CN"/>
        </w:rPr>
        <w:t>，</w:t>
      </w:r>
      <w:r>
        <w:rPr>
          <w:rFonts w:hint="eastAsia" w:eastAsia="仿宋_GB2312" w:cs="仿宋_GB2312"/>
          <w:sz w:val="32"/>
          <w:szCs w:val="32"/>
          <w:highlight w:val="none"/>
          <w:lang w:val="en-US" w:eastAsia="zh-CN"/>
        </w:rPr>
        <w:t>但</w:t>
      </w:r>
      <w:r>
        <w:rPr>
          <w:rFonts w:hint="eastAsia" w:ascii="Times New Roman" w:hAnsi="Times New Roman" w:eastAsia="仿宋_GB2312" w:cs="仿宋_GB2312"/>
          <w:sz w:val="32"/>
          <w:szCs w:val="32"/>
          <w:highlight w:val="none"/>
          <w:lang w:val="en-US" w:eastAsia="zh-CN"/>
        </w:rPr>
        <w:t>未能对调整后安排的59个项目全部开展绩效</w:t>
      </w:r>
      <w:r>
        <w:rPr>
          <w:rFonts w:hint="eastAsia" w:eastAsia="仿宋_GB2312" w:cs="仿宋_GB2312"/>
          <w:sz w:val="32"/>
          <w:szCs w:val="32"/>
          <w:highlight w:val="none"/>
          <w:lang w:val="en-US" w:eastAsia="zh-CN"/>
        </w:rPr>
        <w:t>目标申报工作；年中，仅对《化工园区认定相关费用》、《环卫人员工资》等6个项目开展绩效运行监控；</w:t>
      </w:r>
      <w:r>
        <w:rPr>
          <w:rFonts w:hint="eastAsia" w:ascii="Times New Roman" w:hAnsi="Times New Roman" w:eastAsia="仿宋_GB2312"/>
          <w:sz w:val="32"/>
          <w:szCs w:val="32"/>
          <w:highlight w:val="none"/>
          <w:lang w:val="en-US" w:eastAsia="zh-CN"/>
        </w:rPr>
        <w:t>年末，</w:t>
      </w:r>
      <w:r>
        <w:rPr>
          <w:rFonts w:hint="eastAsia" w:eastAsia="仿宋_GB2312"/>
          <w:sz w:val="32"/>
          <w:szCs w:val="32"/>
          <w:highlight w:val="none"/>
          <w:lang w:val="en-US" w:eastAsia="zh-CN"/>
        </w:rPr>
        <w:t>仅</w:t>
      </w:r>
      <w:r>
        <w:rPr>
          <w:rFonts w:hint="eastAsia" w:ascii="Times New Roman" w:hAnsi="Times New Roman" w:eastAsia="仿宋_GB2312"/>
          <w:sz w:val="32"/>
          <w:szCs w:val="32"/>
          <w:highlight w:val="none"/>
          <w:lang w:val="en-US" w:eastAsia="zh-CN"/>
        </w:rPr>
        <w:t>对《云中消防站建设项目费用》、《原辖区范围钠灯更换LED灯费用》等10个项目绩效自评工作。由此可见，项目实施单位未能对全部项目开展绩效目标申报、绩效运行监控和绩效自评工作，未将绩效管理贯穿全过程。</w:t>
      </w:r>
    </w:p>
    <w:p w14:paraId="0E4852DB">
      <w:pPr>
        <w:keepNext w:val="0"/>
        <w:keepLines w:val="0"/>
        <w:pageBreakBefore w:val="0"/>
        <w:widowControl w:val="0"/>
        <w:kinsoku/>
        <w:wordWrap/>
        <w:overflowPunct w:val="0"/>
        <w:topLinePunct w:val="0"/>
        <w:bidi w:val="0"/>
        <w:spacing w:line="360" w:lineRule="auto"/>
        <w:ind w:firstLine="640" w:firstLineChars="200"/>
        <w:jc w:val="both"/>
        <w:rPr>
          <w:rFonts w:hint="eastAsia" w:eastAsia="仿宋_GB2312" w:cs="仿宋_GB2312"/>
          <w:bCs/>
          <w:sz w:val="32"/>
          <w:szCs w:val="32"/>
          <w:highlight w:val="none"/>
          <w:lang w:val="en-US" w:eastAsia="zh-CN"/>
        </w:rPr>
      </w:pPr>
      <w:r>
        <w:rPr>
          <w:rFonts w:hint="eastAsia" w:eastAsia="楷体" w:cs="仿宋_GB2312"/>
          <w:bCs/>
          <w:sz w:val="32"/>
          <w:szCs w:val="32"/>
          <w:highlight w:val="none"/>
          <w:lang w:eastAsia="zh-CN"/>
        </w:rPr>
        <w:t>（</w:t>
      </w:r>
      <w:r>
        <w:rPr>
          <w:rFonts w:hint="eastAsia" w:eastAsia="楷体" w:cs="仿宋_GB2312"/>
          <w:bCs/>
          <w:sz w:val="32"/>
          <w:szCs w:val="32"/>
          <w:highlight w:val="none"/>
          <w:lang w:val="en-US" w:eastAsia="zh-CN"/>
        </w:rPr>
        <w:t>四）资产管理有待进一步规范。</w:t>
      </w:r>
      <w:r>
        <w:rPr>
          <w:rFonts w:hint="eastAsia" w:eastAsia="仿宋_GB2312" w:cs="仿宋"/>
          <w:bCs/>
          <w:sz w:val="32"/>
          <w:szCs w:val="28"/>
          <w:highlight w:val="none"/>
          <w:lang w:val="en-US" w:eastAsia="zh-CN"/>
        </w:rPr>
        <w:t>一是部门31项资产未能按照资产管理要求在计算折旧</w:t>
      </w:r>
      <w:r>
        <w:rPr>
          <w:rFonts w:hint="eastAsia" w:ascii="Times New Roman" w:hAnsi="Times New Roman" w:eastAsia="仿宋_GB2312" w:cs="仿宋"/>
          <w:bCs/>
          <w:sz w:val="32"/>
          <w:szCs w:val="28"/>
          <w:highlight w:val="none"/>
          <w:lang w:val="en-US" w:eastAsia="zh-CN"/>
        </w:rPr>
        <w:t>时预留资产残值，导致31项资产残值为0，不符合资产管理办法要求；二是65项资产的资产管理人员为临时人员，未能明确资产管理责任人；三是锅炉房硬化工程2009年12月31日前已停用、供热（烟囱）2009年12月31日前已拆除，账面显示资产状态为待处置，但2023年度仍未进行处理。</w:t>
      </w:r>
    </w:p>
    <w:p w14:paraId="0C80FEC4">
      <w:pPr>
        <w:keepNext w:val="0"/>
        <w:keepLines w:val="0"/>
        <w:pageBreakBefore w:val="0"/>
        <w:widowControl w:val="0"/>
        <w:kinsoku/>
        <w:wordWrap/>
        <w:overflowPunct w:val="0"/>
        <w:topLinePunct w:val="0"/>
        <w:bidi w:val="0"/>
        <w:spacing w:line="360" w:lineRule="auto"/>
        <w:ind w:firstLine="640" w:firstLineChars="200"/>
        <w:jc w:val="both"/>
        <w:rPr>
          <w:rFonts w:ascii="仿宋_GB2312" w:hAnsi="仿宋_GB2312" w:eastAsia="仿宋_GB2312" w:cs="仿宋_GB2312"/>
          <w:sz w:val="32"/>
          <w:szCs w:val="32"/>
          <w:highlight w:val="none"/>
        </w:rPr>
      </w:pPr>
      <w:r>
        <w:rPr>
          <w:rFonts w:hint="eastAsia" w:eastAsia="楷体" w:cs="仿宋_GB2312"/>
          <w:bCs/>
          <w:sz w:val="32"/>
          <w:szCs w:val="32"/>
          <w:highlight w:val="none"/>
          <w:lang w:eastAsia="zh-CN"/>
        </w:rPr>
        <w:t>（</w:t>
      </w:r>
      <w:r>
        <w:rPr>
          <w:rFonts w:hint="eastAsia" w:eastAsia="楷体" w:cs="仿宋_GB2312"/>
          <w:bCs/>
          <w:sz w:val="32"/>
          <w:szCs w:val="32"/>
          <w:highlight w:val="none"/>
          <w:lang w:val="en-US" w:eastAsia="zh-CN"/>
        </w:rPr>
        <w:t>五）2个重点工作推进有待进一步加快</w:t>
      </w:r>
      <w:r>
        <w:rPr>
          <w:rFonts w:hint="eastAsia" w:ascii="Times New Roman" w:hAnsi="Times New Roman" w:eastAsia="楷体" w:cs="仿宋_GB2312"/>
          <w:bCs/>
          <w:sz w:val="32"/>
          <w:szCs w:val="32"/>
          <w:highlight w:val="none"/>
        </w:rPr>
        <w:t>。</w:t>
      </w:r>
      <w:r>
        <w:rPr>
          <w:rFonts w:hint="eastAsia" w:eastAsia="仿宋_GB2312" w:cs="仿宋_GB2312"/>
          <w:bCs/>
          <w:sz w:val="32"/>
          <w:szCs w:val="32"/>
          <w:highlight w:val="none"/>
          <w:lang w:val="en-US" w:eastAsia="zh-CN"/>
        </w:rPr>
        <w:t>煤化工循环经济园区基础设施配套项目、云中消防站建设项目建设进度较为缓慢。评价组在现场核查过程中发现，一是煤化工循环经济园区基础设施配套项目仅完成道路部分初步设计；二是云中消防站建设项目完成项目立项及工程规划许可证办理等相关前期手续，截止2023年末尚未开工建设。</w:t>
      </w:r>
    </w:p>
    <w:p w14:paraId="79614316">
      <w:pPr>
        <w:keepNext w:val="0"/>
        <w:keepLines w:val="0"/>
        <w:pageBreakBefore w:val="0"/>
        <w:widowControl w:val="0"/>
        <w:kinsoku/>
        <w:wordWrap/>
        <w:overflowPunct w:val="0"/>
        <w:topLinePunct w:val="0"/>
        <w:bidi w:val="0"/>
        <w:spacing w:line="360" w:lineRule="auto"/>
        <w:ind w:firstLine="640" w:firstLineChars="200"/>
        <w:jc w:val="both"/>
        <w:rPr>
          <w:rFonts w:ascii="黑体" w:hAnsi="黑体" w:eastAsia="黑体" w:cs="宋体"/>
          <w:kern w:val="0"/>
          <w:sz w:val="32"/>
          <w:szCs w:val="32"/>
          <w:highlight w:val="none"/>
        </w:rPr>
      </w:pPr>
      <w:r>
        <w:rPr>
          <w:rFonts w:hint="eastAsia" w:ascii="黑体" w:hAnsi="黑体" w:eastAsia="黑体" w:cs="宋体"/>
          <w:kern w:val="0"/>
          <w:sz w:val="32"/>
          <w:szCs w:val="32"/>
          <w:highlight w:val="none"/>
          <w:lang w:val="en-US" w:eastAsia="zh-CN"/>
        </w:rPr>
        <w:t>五</w:t>
      </w:r>
      <w:r>
        <w:rPr>
          <w:rFonts w:hint="eastAsia" w:ascii="黑体" w:hAnsi="黑体" w:eastAsia="黑体" w:cs="宋体"/>
          <w:kern w:val="0"/>
          <w:sz w:val="32"/>
          <w:szCs w:val="32"/>
          <w:highlight w:val="none"/>
        </w:rPr>
        <w:t>、相关建议</w:t>
      </w:r>
    </w:p>
    <w:p w14:paraId="5E292996">
      <w:pPr>
        <w:keepNext w:val="0"/>
        <w:keepLines w:val="0"/>
        <w:pageBreakBefore w:val="0"/>
        <w:widowControl w:val="0"/>
        <w:kinsoku/>
        <w:wordWrap/>
        <w:overflowPunct w:val="0"/>
        <w:topLinePunct w:val="0"/>
        <w:bidi w:val="0"/>
        <w:spacing w:line="360" w:lineRule="auto"/>
        <w:ind w:firstLine="640" w:firstLineChars="200"/>
        <w:jc w:val="both"/>
        <w:rPr>
          <w:rFonts w:hint="default" w:eastAsia="楷体" w:cs="仿宋_GB2312"/>
          <w:bCs/>
          <w:sz w:val="32"/>
          <w:szCs w:val="32"/>
          <w:highlight w:val="none"/>
          <w:lang w:val="en-US" w:eastAsia="zh-CN"/>
        </w:rPr>
      </w:pPr>
      <w:r>
        <w:rPr>
          <w:rFonts w:hint="eastAsia" w:eastAsia="楷体" w:cs="仿宋_GB2312"/>
          <w:bCs/>
          <w:sz w:val="32"/>
          <w:szCs w:val="32"/>
          <w:highlight w:val="none"/>
          <w:lang w:eastAsia="zh-CN"/>
        </w:rPr>
        <w:t>（</w:t>
      </w:r>
      <w:r>
        <w:rPr>
          <w:rFonts w:hint="eastAsia" w:eastAsia="楷体" w:cs="仿宋_GB2312"/>
          <w:bCs/>
          <w:sz w:val="32"/>
          <w:szCs w:val="32"/>
          <w:highlight w:val="none"/>
          <w:lang w:val="en-US" w:eastAsia="zh-CN"/>
        </w:rPr>
        <w:t>一</w:t>
      </w:r>
      <w:r>
        <w:rPr>
          <w:rFonts w:hint="eastAsia" w:eastAsia="楷体" w:cs="仿宋_GB2312"/>
          <w:bCs/>
          <w:sz w:val="32"/>
          <w:szCs w:val="32"/>
          <w:highlight w:val="none"/>
          <w:lang w:eastAsia="zh-CN"/>
        </w:rPr>
        <w:t>）</w:t>
      </w:r>
      <w:r>
        <w:rPr>
          <w:rFonts w:hint="eastAsia" w:eastAsia="楷体" w:cs="仿宋_GB2312"/>
          <w:bCs/>
          <w:sz w:val="32"/>
          <w:szCs w:val="32"/>
          <w:highlight w:val="none"/>
          <w:lang w:val="en-US" w:eastAsia="zh-CN"/>
        </w:rPr>
        <w:t>加强部门预算编制，及时进行纠偏调整。</w:t>
      </w:r>
      <w:r>
        <w:rPr>
          <w:rFonts w:hint="eastAsia" w:eastAsia="仿宋_GB2312" w:cs="仿宋_GB2312"/>
          <w:bCs/>
          <w:sz w:val="32"/>
          <w:szCs w:val="32"/>
          <w:highlight w:val="none"/>
        </w:rPr>
        <w:t>建议</w:t>
      </w:r>
      <w:r>
        <w:rPr>
          <w:rFonts w:hint="eastAsia" w:eastAsia="仿宋_GB2312" w:cs="仿宋_GB2312"/>
          <w:bCs/>
          <w:sz w:val="32"/>
          <w:szCs w:val="32"/>
          <w:highlight w:val="none"/>
          <w:lang w:eastAsia="zh-CN"/>
        </w:rPr>
        <w:t>忻州经济开发区管理委员会建设环保管理部</w:t>
      </w:r>
      <w:r>
        <w:rPr>
          <w:rFonts w:hint="eastAsia" w:eastAsia="仿宋_GB2312" w:cs="仿宋_GB2312"/>
          <w:bCs/>
          <w:sz w:val="32"/>
          <w:szCs w:val="32"/>
          <w:highlight w:val="none"/>
          <w:lang w:val="en-US" w:eastAsia="zh-CN"/>
        </w:rPr>
        <w:t>，一是在预算编制过程中，要充分对当年计划实施项目、项目预计实施进度等相关内容进行充分测算和预判，并根据项目实施内容，参照相关标准或合理的测算依据确定当年项目预算，提高预算编制的合理性；二是在确定预算项目过程中，针对</w:t>
      </w:r>
      <w:r>
        <w:rPr>
          <w:rFonts w:hint="eastAsia" w:eastAsia="仿宋_GB2312" w:cs="仿宋_GB2312"/>
          <w:sz w:val="32"/>
          <w:szCs w:val="32"/>
          <w:highlight w:val="none"/>
          <w:lang w:val="en-US" w:eastAsia="zh-CN"/>
        </w:rPr>
        <w:t>同一项目存在按经济科目不同拆分至多个项目的情况，对其进行合并，确保预算编制的严谨性；三是在项目实施过程中，及时对项目实施进度、资金支付进度等进行跟踪监控，对发生目标偏离的情况，及时进行纠偏调整，对当年无法按期推进的项目，及时对预算进行调整，保障项目预算编制的科学合理。</w:t>
      </w:r>
    </w:p>
    <w:p w14:paraId="1BE15ABB">
      <w:pPr>
        <w:keepNext w:val="0"/>
        <w:keepLines w:val="0"/>
        <w:pageBreakBefore w:val="0"/>
        <w:widowControl w:val="0"/>
        <w:kinsoku/>
        <w:wordWrap/>
        <w:overflowPunct w:val="0"/>
        <w:topLinePunct w:val="0"/>
        <w:bidi w:val="0"/>
        <w:spacing w:line="360" w:lineRule="auto"/>
        <w:ind w:firstLine="640" w:firstLineChars="200"/>
        <w:jc w:val="both"/>
        <w:rPr>
          <w:rFonts w:hint="eastAsia" w:eastAsia="仿宋_GB2312" w:cs="仿宋_GB2312"/>
          <w:bCs/>
          <w:sz w:val="32"/>
          <w:szCs w:val="32"/>
          <w:highlight w:val="none"/>
          <w:lang w:eastAsia="zh-CN"/>
        </w:rPr>
      </w:pPr>
      <w:r>
        <w:rPr>
          <w:rFonts w:hint="eastAsia" w:eastAsia="楷体" w:cs="仿宋_GB2312"/>
          <w:bCs/>
          <w:sz w:val="32"/>
          <w:szCs w:val="32"/>
          <w:highlight w:val="none"/>
        </w:rPr>
        <w:t>（</w:t>
      </w:r>
      <w:r>
        <w:rPr>
          <w:rFonts w:hint="eastAsia" w:eastAsia="楷体" w:cs="仿宋_GB2312"/>
          <w:bCs/>
          <w:sz w:val="32"/>
          <w:szCs w:val="32"/>
          <w:highlight w:val="none"/>
          <w:lang w:val="en-US" w:eastAsia="zh-CN"/>
        </w:rPr>
        <w:t>二</w:t>
      </w:r>
      <w:r>
        <w:rPr>
          <w:rFonts w:hint="eastAsia" w:eastAsia="楷体" w:cs="仿宋_GB2312"/>
          <w:bCs/>
          <w:sz w:val="32"/>
          <w:szCs w:val="32"/>
          <w:highlight w:val="none"/>
        </w:rPr>
        <w:t>）加强预算</w:t>
      </w:r>
      <w:r>
        <w:rPr>
          <w:rFonts w:hint="eastAsia" w:eastAsia="楷体" w:cs="仿宋_GB2312"/>
          <w:bCs/>
          <w:sz w:val="32"/>
          <w:szCs w:val="32"/>
          <w:highlight w:val="none"/>
          <w:lang w:val="en-US" w:eastAsia="zh-CN"/>
        </w:rPr>
        <w:t>执行</w:t>
      </w:r>
      <w:r>
        <w:rPr>
          <w:rFonts w:hint="eastAsia" w:eastAsia="楷体" w:cs="仿宋_GB2312"/>
          <w:bCs/>
          <w:sz w:val="32"/>
          <w:szCs w:val="32"/>
          <w:highlight w:val="none"/>
        </w:rPr>
        <w:t>管理，保障目标顺利完成。</w:t>
      </w:r>
      <w:r>
        <w:rPr>
          <w:rFonts w:hint="eastAsia" w:eastAsia="仿宋_GB2312" w:cs="仿宋_GB2312"/>
          <w:bCs/>
          <w:sz w:val="32"/>
          <w:szCs w:val="32"/>
          <w:highlight w:val="none"/>
        </w:rPr>
        <w:t>建议</w:t>
      </w:r>
      <w:r>
        <w:rPr>
          <w:rFonts w:hint="eastAsia" w:eastAsia="仿宋_GB2312" w:cs="仿宋_GB2312"/>
          <w:bCs/>
          <w:sz w:val="32"/>
          <w:szCs w:val="32"/>
          <w:highlight w:val="none"/>
          <w:lang w:eastAsia="zh-CN"/>
        </w:rPr>
        <w:t>忻州经济开发区管理委员会建设环保管理部</w:t>
      </w:r>
      <w:r>
        <w:rPr>
          <w:rFonts w:hint="eastAsia" w:eastAsia="仿宋_GB2312" w:cs="仿宋_GB2312"/>
          <w:bCs/>
          <w:sz w:val="32"/>
          <w:szCs w:val="32"/>
          <w:highlight w:val="none"/>
        </w:rPr>
        <w:t>在今后同类型任务实施时，改变资金分配的固化格局，将预算调整率、资金支付进度率等作为衡量内设机构和直属单位绩效评价的主要依据，对存在资金长期闲置或利用率较低的项目，要及时调整项目预算，剩余的资金要及时退回财政部门</w:t>
      </w:r>
      <w:r>
        <w:rPr>
          <w:rFonts w:hint="eastAsia" w:eastAsia="仿宋_GB2312" w:cs="仿宋_GB2312"/>
          <w:bCs/>
          <w:sz w:val="32"/>
          <w:szCs w:val="32"/>
          <w:highlight w:val="none"/>
          <w:lang w:eastAsia="zh-CN"/>
        </w:rPr>
        <w:t>，</w:t>
      </w:r>
      <w:r>
        <w:rPr>
          <w:rFonts w:hint="eastAsia" w:eastAsia="仿宋_GB2312" w:cs="仿宋_GB2312"/>
          <w:bCs/>
          <w:sz w:val="32"/>
          <w:szCs w:val="32"/>
          <w:highlight w:val="none"/>
          <w:lang w:val="en-US" w:eastAsia="zh-CN"/>
        </w:rPr>
        <w:t>既减少资金的无效占用，又按调整后的项目及时推进，保障完成</w:t>
      </w:r>
      <w:r>
        <w:rPr>
          <w:rFonts w:hint="eastAsia" w:eastAsia="仿宋_GB2312" w:cs="仿宋_GB2312"/>
          <w:bCs/>
          <w:sz w:val="32"/>
          <w:szCs w:val="32"/>
          <w:highlight w:val="none"/>
        </w:rPr>
        <w:t>。</w:t>
      </w:r>
    </w:p>
    <w:p w14:paraId="20FA3735">
      <w:pPr>
        <w:keepNext w:val="0"/>
        <w:keepLines w:val="0"/>
        <w:pageBreakBefore w:val="0"/>
        <w:widowControl w:val="0"/>
        <w:kinsoku/>
        <w:wordWrap/>
        <w:overflowPunct w:val="0"/>
        <w:topLinePunct w:val="0"/>
        <w:bidi w:val="0"/>
        <w:spacing w:line="360" w:lineRule="auto"/>
        <w:ind w:firstLine="640" w:firstLineChars="200"/>
        <w:jc w:val="both"/>
        <w:rPr>
          <w:rFonts w:eastAsia="楷体" w:cs="仿宋_GB2312"/>
          <w:bCs/>
          <w:sz w:val="32"/>
          <w:szCs w:val="32"/>
          <w:highlight w:val="none"/>
        </w:rPr>
      </w:pPr>
      <w:r>
        <w:rPr>
          <w:rFonts w:hint="eastAsia" w:ascii="Times New Roman" w:hAnsi="Times New Roman" w:eastAsia="楷体" w:cs="仿宋_GB2312"/>
          <w:bCs/>
          <w:sz w:val="32"/>
          <w:szCs w:val="32"/>
          <w:highlight w:val="none"/>
          <w:lang w:eastAsia="zh-CN"/>
        </w:rPr>
        <w:t>（</w:t>
      </w:r>
      <w:r>
        <w:rPr>
          <w:rFonts w:hint="eastAsia" w:eastAsia="楷体" w:cs="仿宋_GB2312"/>
          <w:bCs/>
          <w:sz w:val="32"/>
          <w:szCs w:val="32"/>
          <w:highlight w:val="none"/>
          <w:lang w:val="en-US" w:eastAsia="zh-CN"/>
        </w:rPr>
        <w:t>三</w:t>
      </w:r>
      <w:r>
        <w:rPr>
          <w:rFonts w:hint="eastAsia" w:ascii="Times New Roman" w:hAnsi="Times New Roman" w:eastAsia="楷体" w:cs="仿宋_GB2312"/>
          <w:bCs/>
          <w:sz w:val="32"/>
          <w:szCs w:val="32"/>
          <w:highlight w:val="none"/>
          <w:lang w:val="en-US" w:eastAsia="zh-CN"/>
        </w:rPr>
        <w:t>）增强绩效管理理念，提高绩效管理水平。</w:t>
      </w:r>
      <w:r>
        <w:rPr>
          <w:rFonts w:hint="eastAsia" w:ascii="Times New Roman" w:hAnsi="Times New Roman" w:eastAsia="仿宋_GB2312" w:cs="仿宋_GB2312"/>
          <w:bCs/>
          <w:sz w:val="32"/>
          <w:szCs w:val="32"/>
          <w:highlight w:val="none"/>
          <w:lang w:val="en-US" w:eastAsia="zh-CN"/>
        </w:rPr>
        <w:t>建议</w:t>
      </w:r>
      <w:r>
        <w:rPr>
          <w:rFonts w:hint="eastAsia" w:eastAsia="仿宋_GB2312" w:cs="仿宋_GB2312"/>
          <w:bCs/>
          <w:sz w:val="32"/>
          <w:szCs w:val="32"/>
          <w:highlight w:val="none"/>
          <w:lang w:val="en-US" w:eastAsia="zh-CN"/>
        </w:rPr>
        <w:t>忻州经济开发区管理委员会建设环保管理部</w:t>
      </w:r>
      <w:r>
        <w:rPr>
          <w:rFonts w:hint="eastAsia" w:ascii="Times New Roman" w:hAnsi="Times New Roman" w:eastAsia="仿宋_GB2312" w:cs="仿宋_GB2312"/>
          <w:bCs/>
          <w:sz w:val="32"/>
          <w:szCs w:val="32"/>
          <w:highlight w:val="none"/>
          <w:lang w:val="en-US" w:eastAsia="zh-CN"/>
        </w:rPr>
        <w:t>全面贯彻落实</w:t>
      </w:r>
      <w:r>
        <w:rPr>
          <w:rFonts w:hint="eastAsia" w:eastAsia="仿宋_GB2312" w:cs="仿宋_GB2312"/>
          <w:bCs/>
          <w:sz w:val="32"/>
          <w:szCs w:val="32"/>
          <w:highlight w:val="none"/>
          <w:lang w:val="en-US" w:eastAsia="zh-CN"/>
        </w:rPr>
        <w:t>忻州市</w:t>
      </w:r>
      <w:r>
        <w:rPr>
          <w:rFonts w:hint="eastAsia" w:ascii="Times New Roman" w:hAnsi="Times New Roman" w:eastAsia="仿宋_GB2312" w:cs="仿宋_GB2312"/>
          <w:bCs/>
          <w:sz w:val="32"/>
          <w:szCs w:val="32"/>
          <w:highlight w:val="none"/>
          <w:lang w:val="en-US" w:eastAsia="zh-CN"/>
        </w:rPr>
        <w:t>关于“全面实施预算绩效管理”的要求，不断提高预算绩效管理理念，提高对全面实施预算绩效管理的认识和政策要求的掌握。在实施过程中，科学合理设置绩效目标，细化量化绩效指标，并按要求及时进行申报；绩效目标批复后，加强对实施过程中的绩效监控和结果的自评，扎实推动绩效目标的高质量、高标准实现。</w:t>
      </w:r>
    </w:p>
    <w:p w14:paraId="613DCF44">
      <w:pPr>
        <w:keepNext w:val="0"/>
        <w:keepLines w:val="0"/>
        <w:pageBreakBefore w:val="0"/>
        <w:widowControl w:val="0"/>
        <w:kinsoku/>
        <w:wordWrap/>
        <w:overflowPunct w:val="0"/>
        <w:topLinePunct w:val="0"/>
        <w:bidi w:val="0"/>
        <w:spacing w:line="360" w:lineRule="auto"/>
        <w:ind w:firstLine="640" w:firstLineChars="200"/>
        <w:jc w:val="both"/>
        <w:rPr>
          <w:rFonts w:hint="eastAsia" w:eastAsia="楷体" w:cs="仿宋_GB2312"/>
          <w:bCs/>
          <w:sz w:val="32"/>
          <w:szCs w:val="32"/>
          <w:highlight w:val="none"/>
        </w:rPr>
      </w:pPr>
      <w:r>
        <w:rPr>
          <w:rFonts w:hint="eastAsia" w:eastAsia="楷体" w:cs="仿宋_GB2312"/>
          <w:bCs/>
          <w:sz w:val="32"/>
          <w:szCs w:val="32"/>
          <w:highlight w:val="none"/>
          <w:lang w:eastAsia="zh-CN"/>
        </w:rPr>
        <w:t>（</w:t>
      </w:r>
      <w:r>
        <w:rPr>
          <w:rFonts w:hint="eastAsia" w:eastAsia="楷体" w:cs="仿宋_GB2312"/>
          <w:bCs/>
          <w:sz w:val="32"/>
          <w:szCs w:val="32"/>
          <w:highlight w:val="none"/>
          <w:lang w:val="en-US" w:eastAsia="zh-CN"/>
        </w:rPr>
        <w:t>四</w:t>
      </w:r>
      <w:r>
        <w:rPr>
          <w:rFonts w:hint="eastAsia" w:eastAsia="楷体" w:cs="仿宋_GB2312"/>
          <w:bCs/>
          <w:sz w:val="32"/>
          <w:szCs w:val="32"/>
          <w:highlight w:val="none"/>
          <w:lang w:eastAsia="zh-CN"/>
        </w:rPr>
        <w:t>）</w:t>
      </w:r>
      <w:r>
        <w:rPr>
          <w:rFonts w:hint="eastAsia" w:eastAsia="楷体" w:cs="仿宋_GB2312"/>
          <w:bCs/>
          <w:sz w:val="32"/>
          <w:szCs w:val="32"/>
          <w:highlight w:val="none"/>
          <w:lang w:val="en-US" w:eastAsia="zh-CN"/>
        </w:rPr>
        <w:t>加强部门资产管理，保障资产管理规范。</w:t>
      </w:r>
      <w:r>
        <w:rPr>
          <w:rFonts w:hint="eastAsia" w:ascii="Times New Roman" w:hAnsi="Times New Roman" w:eastAsia="仿宋_GB2312" w:cs="仿宋_GB2312"/>
          <w:bCs/>
          <w:sz w:val="32"/>
          <w:szCs w:val="32"/>
          <w:highlight w:val="none"/>
          <w:lang w:val="en-US" w:eastAsia="zh-CN"/>
        </w:rPr>
        <w:t>建议</w:t>
      </w:r>
      <w:r>
        <w:rPr>
          <w:rFonts w:hint="eastAsia" w:eastAsia="仿宋_GB2312" w:cs="仿宋_GB2312"/>
          <w:bCs/>
          <w:sz w:val="32"/>
          <w:szCs w:val="32"/>
          <w:highlight w:val="none"/>
          <w:lang w:val="en-US" w:eastAsia="zh-CN"/>
        </w:rPr>
        <w:t>忻州经济开发区管理委员会建设环保管理部在后续项目资产管理过程中，一是对部门资产进行一次全面清点，摸清资产状况后，严格按照资产管理办法对部门资产进行管理，在计提折旧时合理确定资产残值；二是明确资产管理责任人，对目前65项资产管理人员为临时人员的情况，及时将资产管理责任落实至相应的在职人员；三是及时对部门已处于待处置状态的锅炉房硬化工程、供热（烟囱）进行处置，保障部门资产管理规范。</w:t>
      </w:r>
    </w:p>
    <w:p w14:paraId="1B9D0038">
      <w:pPr>
        <w:keepNext w:val="0"/>
        <w:keepLines w:val="0"/>
        <w:pageBreakBefore w:val="0"/>
        <w:widowControl w:val="0"/>
        <w:kinsoku/>
        <w:wordWrap/>
        <w:topLinePunct w:val="0"/>
        <w:bidi w:val="0"/>
        <w:spacing w:line="360" w:lineRule="auto"/>
        <w:ind w:firstLine="640" w:firstLineChars="200"/>
        <w:jc w:val="both"/>
      </w:pPr>
      <w:r>
        <w:rPr>
          <w:rFonts w:hint="eastAsia" w:eastAsia="楷体" w:cs="仿宋_GB2312"/>
          <w:bCs/>
          <w:sz w:val="32"/>
          <w:szCs w:val="32"/>
          <w:highlight w:val="none"/>
        </w:rPr>
        <w:t>（</w:t>
      </w:r>
      <w:r>
        <w:rPr>
          <w:rFonts w:hint="eastAsia" w:eastAsia="楷体" w:cs="仿宋_GB2312"/>
          <w:bCs/>
          <w:sz w:val="32"/>
          <w:szCs w:val="32"/>
          <w:highlight w:val="none"/>
          <w:lang w:val="en-US" w:eastAsia="zh-CN"/>
        </w:rPr>
        <w:t>五</w:t>
      </w:r>
      <w:r>
        <w:rPr>
          <w:rFonts w:hint="eastAsia" w:eastAsia="楷体" w:cs="仿宋_GB2312"/>
          <w:bCs/>
          <w:sz w:val="32"/>
          <w:szCs w:val="32"/>
          <w:highlight w:val="none"/>
        </w:rPr>
        <w:t>）</w:t>
      </w:r>
      <w:r>
        <w:rPr>
          <w:rFonts w:hint="eastAsia" w:eastAsia="楷体" w:cs="仿宋_GB2312"/>
          <w:bCs/>
          <w:sz w:val="32"/>
          <w:szCs w:val="32"/>
          <w:highlight w:val="none"/>
          <w:lang w:val="en-US" w:eastAsia="zh-CN"/>
        </w:rPr>
        <w:t>完善重点项目措施</w:t>
      </w:r>
      <w:r>
        <w:rPr>
          <w:rFonts w:hint="eastAsia" w:eastAsia="楷体"/>
          <w:sz w:val="32"/>
          <w:szCs w:val="32"/>
          <w:highlight w:val="none"/>
        </w:rPr>
        <w:t>，</w:t>
      </w:r>
      <w:r>
        <w:rPr>
          <w:rFonts w:hint="eastAsia" w:eastAsia="楷体"/>
          <w:sz w:val="32"/>
          <w:szCs w:val="32"/>
          <w:highlight w:val="none"/>
          <w:lang w:val="en-US" w:eastAsia="zh-CN"/>
        </w:rPr>
        <w:t>加快推进</w:t>
      </w:r>
      <w:r>
        <w:rPr>
          <w:rFonts w:hint="eastAsia" w:eastAsia="楷体"/>
          <w:sz w:val="32"/>
          <w:szCs w:val="32"/>
          <w:highlight w:val="none"/>
        </w:rPr>
        <w:t>项目实施。</w:t>
      </w:r>
      <w:r>
        <w:rPr>
          <w:rFonts w:hint="eastAsia" w:eastAsia="仿宋_GB2312"/>
          <w:sz w:val="32"/>
          <w:szCs w:val="32"/>
          <w:highlight w:val="none"/>
        </w:rPr>
        <w:t>建议</w:t>
      </w:r>
      <w:r>
        <w:rPr>
          <w:rFonts w:hint="eastAsia" w:eastAsia="仿宋_GB2312"/>
          <w:sz w:val="32"/>
          <w:szCs w:val="32"/>
          <w:highlight w:val="none"/>
          <w:lang w:eastAsia="zh-CN"/>
        </w:rPr>
        <w:t>忻州经济开发区管理委员会建设环保管理部</w:t>
      </w:r>
      <w:r>
        <w:rPr>
          <w:rFonts w:hint="eastAsia" w:eastAsia="仿宋_GB2312"/>
          <w:sz w:val="32"/>
          <w:szCs w:val="32"/>
          <w:highlight w:val="none"/>
          <w:lang w:val="en-US" w:eastAsia="zh-CN"/>
        </w:rPr>
        <w:t>一是针对未完成的重点项目，要召开专题会议，分析影响实施进度的原因，针对性的提出落实措施，并落实责任人，倒排工期，限时完成；二是今后</w:t>
      </w:r>
      <w:r>
        <w:rPr>
          <w:rFonts w:hint="eastAsia" w:eastAsia="仿宋_GB2312"/>
          <w:sz w:val="32"/>
          <w:szCs w:val="32"/>
          <w:highlight w:val="none"/>
        </w:rPr>
        <w:t>在重点项目及核心任务实施之前，要充分了解实施的条件、实施的环节、实施的计划的可行性，做出准确的预判，合理规划项目实施期限；在项目确定实施后，按计划进度和措施积极予以推进，如遇到暂时的困难，要主动积极沟通上级主管部门及相关责任单位，落实补救措施，督促项目正常实施，保障预算安排的项目有序按期完成</w:t>
      </w:r>
      <w:r>
        <w:rPr>
          <w:rFonts w:hint="eastAsia" w:eastAsia="仿宋_GB2312"/>
          <w:sz w:val="32"/>
          <w:szCs w:val="32"/>
          <w:highlight w:val="none"/>
          <w:lang w:eastAsia="zh-CN"/>
        </w:rPr>
        <w:t>。</w:t>
      </w:r>
      <w:bookmarkStart w:id="6" w:name="_GoBack"/>
      <w:bookmarkEnd w:id="6"/>
    </w:p>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8E92AB77-A40E-4BD2-A175-012D3CEF808A}"/>
  </w:font>
  <w:font w:name="黑体">
    <w:panose1 w:val="02010609060101010101"/>
    <w:charset w:val="86"/>
    <w:family w:val="auto"/>
    <w:pitch w:val="default"/>
    <w:sig w:usb0="800002BF" w:usb1="38CF7CFA" w:usb2="00000016" w:usb3="00000000" w:csb0="00040001" w:csb1="00000000"/>
    <w:embedRegular r:id="rId2" w:fontKey="{EF05AA1A-C0A0-449F-8F60-B499BEE2BFF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3" w:fontKey="{82A61850-F683-46D9-B971-9672980E2840}"/>
  </w:font>
  <w:font w:name="方正小标宋简体">
    <w:panose1 w:val="02000000000000000000"/>
    <w:charset w:val="86"/>
    <w:family w:val="auto"/>
    <w:pitch w:val="default"/>
    <w:sig w:usb0="00000001" w:usb1="08000000" w:usb2="00000000" w:usb3="00000000" w:csb0="00040000" w:csb1="00000000"/>
    <w:embedRegular r:id="rId4" w:fontKey="{D7B4BE51-C4EA-42E1-802B-A58492D5AFE8}"/>
  </w:font>
  <w:font w:name="仿宋">
    <w:panose1 w:val="02010609060101010101"/>
    <w:charset w:val="86"/>
    <w:family w:val="modern"/>
    <w:pitch w:val="default"/>
    <w:sig w:usb0="800002BF" w:usb1="38CF7CFA" w:usb2="00000016" w:usb3="00000000" w:csb0="00040001" w:csb1="00000000"/>
    <w:embedRegular r:id="rId5" w:fontKey="{35ABC84E-313E-4163-9ED2-FD40A41E4093}"/>
  </w:font>
  <w:font w:name="仿宋_GB2312">
    <w:panose1 w:val="02010609030101010101"/>
    <w:charset w:val="86"/>
    <w:family w:val="modern"/>
    <w:pitch w:val="default"/>
    <w:sig w:usb0="00000001" w:usb1="080E0000" w:usb2="00000000" w:usb3="00000000" w:csb0="00040000" w:csb1="00000000"/>
    <w:embedRegular r:id="rId6" w:fontKey="{DDC009CC-E404-4AE5-9116-0ABFAEB8A964}"/>
  </w:font>
  <w:font w:name="MS Gothic">
    <w:panose1 w:val="020B0609070205080204"/>
    <w:charset w:val="80"/>
    <w:family w:val="modern"/>
    <w:pitch w:val="default"/>
    <w:sig w:usb0="E00002FF" w:usb1="6AC7FDFB" w:usb2="08000012" w:usb3="00000000" w:csb0="4002009F" w:csb1="DFD70000"/>
    <w:embedRegular r:id="rId7" w:fontKey="{6141AA86-DB55-4DDC-B1C3-0461B474C6DD}"/>
  </w:font>
  <w:font w:name="楷体">
    <w:panose1 w:val="02010609060101010101"/>
    <w:charset w:val="86"/>
    <w:family w:val="modern"/>
    <w:pitch w:val="default"/>
    <w:sig w:usb0="800002BF" w:usb1="38CF7CFA" w:usb2="00000016" w:usb3="00000000" w:csb0="00040001" w:csb1="00000000"/>
    <w:embedRegular r:id="rId8" w:fontKey="{B12A35A3-7DA0-4505-AFC4-6D9E1C4862EC}"/>
  </w:font>
  <w:font w:name="楷体_GB2312">
    <w:panose1 w:val="02010609030101010101"/>
    <w:charset w:val="86"/>
    <w:family w:val="modern"/>
    <w:pitch w:val="default"/>
    <w:sig w:usb0="00000001" w:usb1="080E0000" w:usb2="00000000" w:usb3="00000000" w:csb0="00040000" w:csb1="00000000"/>
    <w:embedRegular r:id="rId9" w:fontKey="{DD496D19-ADCB-4F4A-BF3C-EE191855D258}"/>
  </w:font>
  <w:font w:name="Cambria">
    <w:panose1 w:val="02040503050406030204"/>
    <w:charset w:val="00"/>
    <w:family w:val="roman"/>
    <w:pitch w:val="default"/>
    <w:sig w:usb0="E00006FF" w:usb1="420024FF" w:usb2="02000000" w:usb3="00000000" w:csb0="2000019F" w:csb1="00000000"/>
    <w:embedRegular r:id="rId10" w:fontKey="{FBDC4BE6-9A7E-4218-87FF-AD8DE055607E}"/>
  </w:font>
  <w:font w:name="宋体-简">
    <w:altName w:val="宋体"/>
    <w:panose1 w:val="02010800040101010101"/>
    <w:charset w:val="86"/>
    <w:family w:val="auto"/>
    <w:pitch w:val="default"/>
    <w:sig w:usb0="00000000" w:usb1="00000000" w:usb2="00000000" w:usb3="00000000" w:csb0="00040000" w:csb1="00000000"/>
    <w:embedRegular r:id="rId11" w:fontKey="{A3984FE6-2D9E-42D5-BF98-F73F9418EE0C}"/>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B8DD3">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1DF502">
                          <w:pPr>
                            <w:pStyle w:val="4"/>
                          </w:pPr>
                          <w:r>
                            <w:rPr>
                              <w:sz w:val="28"/>
                              <w:szCs w:val="28"/>
                            </w:rPr>
                            <w:fldChar w:fldCharType="begin"/>
                          </w:r>
                          <w:r>
                            <w:rPr>
                              <w:sz w:val="28"/>
                              <w:szCs w:val="28"/>
                            </w:rPr>
                            <w:instrText xml:space="preserve"> PAGE  \* MERGEFORMAT </w:instrText>
                          </w:r>
                          <w:r>
                            <w:rPr>
                              <w:sz w:val="28"/>
                              <w:szCs w:val="28"/>
                            </w:rPr>
                            <w:fldChar w:fldCharType="separate"/>
                          </w:r>
                          <w:r>
                            <w:rPr>
                              <w:sz w:val="28"/>
                              <w:szCs w:val="28"/>
                            </w:rPr>
                            <w:t>- 69 -</w:t>
                          </w:r>
                          <w:r>
                            <w:rPr>
                              <w:sz w:val="28"/>
                              <w:szCs w:val="28"/>
                            </w:rPr>
                            <w:fldChar w:fldCharType="end"/>
                          </w:r>
                        </w:p>
                      </w:txbxContent>
                    </wps:txbx>
                    <wps:bodyPr vert="horz" wrap="none" lIns="0" tIns="0" rIns="0" bIns="0" anchor="t" anchorCtr="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M3iLWTgAQAAwgMAAA4AAAAA&#10;AAAAAQAgAAAAHgEAAGRycy9lMm9Eb2MueG1sUEsFBgAAAAAGAAYAWQEAAHAFAAAAAA==&#10;">
              <v:fill on="f" focussize="0,0"/>
              <v:stroke on="f"/>
              <v:imagedata o:title=""/>
              <o:lock v:ext="edit" aspectratio="f"/>
              <v:textbox inset="0mm,0mm,0mm,0mm" style="mso-fit-shape-to-text:t;">
                <w:txbxContent>
                  <w:p w14:paraId="7B1DF502">
                    <w:pPr>
                      <w:pStyle w:val="4"/>
                    </w:pPr>
                    <w:r>
                      <w:rPr>
                        <w:sz w:val="28"/>
                        <w:szCs w:val="28"/>
                      </w:rPr>
                      <w:fldChar w:fldCharType="begin"/>
                    </w:r>
                    <w:r>
                      <w:rPr>
                        <w:sz w:val="28"/>
                        <w:szCs w:val="28"/>
                      </w:rPr>
                      <w:instrText xml:space="preserve"> PAGE  \* MERGEFORMAT </w:instrText>
                    </w:r>
                    <w:r>
                      <w:rPr>
                        <w:sz w:val="28"/>
                        <w:szCs w:val="28"/>
                      </w:rPr>
                      <w:fldChar w:fldCharType="separate"/>
                    </w:r>
                    <w:r>
                      <w:rPr>
                        <w:sz w:val="28"/>
                        <w:szCs w:val="28"/>
                      </w:rPr>
                      <w:t>- 69 -</w:t>
                    </w:r>
                    <w:r>
                      <w:rPr>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445D9">
    <w:pPr>
      <w:pStyle w:val="5"/>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D6A1B7">
    <w:pPr>
      <w:pStyle w:val="5"/>
      <w:rPr>
        <w:rFonts w:ascii="等线" w:hAnsi="等线" w:eastAsia="等线"/>
      </w:rPr>
    </w:pPr>
  </w:p>
  <w:p w14:paraId="1451CF11">
    <w:pPr>
      <w:pStyle w:val="5"/>
    </w:pPr>
    <w:r>
      <w:rPr>
        <w:rFonts w:hint="eastAsia" w:eastAsia="仿宋_GB2312"/>
        <w:szCs w:val="21"/>
        <w:lang w:eastAsia="zh-CN"/>
      </w:rPr>
      <w:t>忻州经济开发区管理委员会建设环保管理部2023年度部门整体</w:t>
    </w:r>
    <w:r>
      <w:rPr>
        <w:rFonts w:eastAsia="仿宋_GB2312"/>
        <w:szCs w:val="21"/>
      </w:rPr>
      <w:t>绩效评价</w:t>
    </w:r>
    <w:r>
      <w:rPr>
        <w:rFonts w:hint="eastAsia" w:eastAsia="仿宋_GB2312"/>
        <w:szCs w:val="21"/>
      </w:rPr>
      <w:t>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6C37B3"/>
    <w:rsid w:val="376C3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kern w:val="2"/>
      <w:lang w:val="en-US" w:eastAsia="zh-CN" w:bidi="ar-SA"/>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rFonts w:ascii="Calibri" w:hAnsi="Calibri"/>
      <w:kern w:val="0"/>
      <w:sz w:val="24"/>
      <w:szCs w:val="24"/>
    </w:rPr>
  </w:style>
  <w:style w:type="paragraph" w:styleId="3">
    <w:name w:val="Body Text Indent"/>
    <w:basedOn w:val="1"/>
    <w:qFormat/>
    <w:uiPriority w:val="99"/>
    <w:pPr>
      <w:ind w:left="420" w:leftChars="200"/>
    </w:pPr>
    <w:rPr>
      <w:rFonts w:ascii="Calibri" w:hAnsi="Calibri" w:cs="Calibri"/>
      <w:sz w:val="24"/>
      <w:szCs w:val="21"/>
    </w:rPr>
  </w:style>
  <w:style w:type="paragraph" w:styleId="4">
    <w:name w:val="footer"/>
    <w:basedOn w:val="1"/>
    <w:qFormat/>
    <w:uiPriority w:val="99"/>
    <w:pPr>
      <w:tabs>
        <w:tab w:val="center" w:pos="4153"/>
        <w:tab w:val="right" w:pos="8306"/>
      </w:tabs>
      <w:snapToGrid w:val="0"/>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style>
  <w:style w:type="paragraph" w:styleId="7">
    <w:name w:val="toc 2"/>
    <w:basedOn w:val="1"/>
    <w:next w:val="1"/>
    <w:qFormat/>
    <w:uiPriority w:val="39"/>
    <w:pPr>
      <w:ind w:left="420" w:leftChars="200"/>
    </w:pPr>
  </w:style>
  <w:style w:type="paragraph" w:styleId="8">
    <w:name w:val="Normal (Web)"/>
    <w:basedOn w:val="1"/>
    <w:next w:val="1"/>
    <w:unhideWhenUsed/>
    <w:qFormat/>
    <w:uiPriority w:val="0"/>
    <w:pPr>
      <w:spacing w:before="100" w:beforeAutospacing="1" w:after="100" w:afterAutospacing="1"/>
    </w:pPr>
    <w:rPr>
      <w:rFonts w:ascii="宋体" w:hAnsi="宋体" w:cs="宋体"/>
      <w:kern w:val="0"/>
      <w:sz w:val="24"/>
    </w:rPr>
  </w:style>
  <w:style w:type="paragraph" w:styleId="9">
    <w:name w:val="Body Text First Indent 2"/>
    <w:basedOn w:val="3"/>
    <w:qFormat/>
    <w:uiPriority w:val="0"/>
    <w:pPr>
      <w:tabs>
        <w:tab w:val="left" w:pos="7920"/>
      </w:tabs>
      <w:spacing w:after="120" w:line="360" w:lineRule="auto"/>
      <w:ind w:firstLine="200" w:firstLineChars="200"/>
    </w:pPr>
    <w:rPr>
      <w:rFonts w:ascii="Times New Roman" w:hAnsi="Times New Roman" w:cs="Times New Roman"/>
    </w:rPr>
  </w:style>
  <w:style w:type="paragraph" w:customStyle="1" w:styleId="12">
    <w:name w:val="正文首行缩进 21"/>
    <w:basedOn w:val="13"/>
    <w:next w:val="8"/>
    <w:qFormat/>
    <w:uiPriority w:val="99"/>
    <w:pPr>
      <w:widowControl w:val="0"/>
      <w:ind w:firstLine="200" w:firstLineChars="200"/>
      <w:jc w:val="both"/>
    </w:pPr>
    <w:rPr>
      <w:rFonts w:ascii="Calibri" w:hAnsi="Calibri" w:cs="Times New Roman"/>
      <w:kern w:val="2"/>
      <w:sz w:val="30"/>
    </w:rPr>
  </w:style>
  <w:style w:type="paragraph" w:customStyle="1" w:styleId="13">
    <w:name w:val="正文文本缩进1"/>
    <w:qFormat/>
    <w:uiPriority w:val="99"/>
    <w:pPr>
      <w:ind w:left="200" w:leftChars="20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13</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2024-12-31T07:59:00Z</dcterms:created>
  <dc:creator>Super小号游骑兵</dc:creator>
  <cp:lastModifiedBy>Super小号游骑兵</cp:lastModifiedBy>
  <dcterms:modified xsi:type="dcterms:W3CDTF">2024-12-31T08:14:23Z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9D2DEF45B8D147A8A53BCBCBB5CB8206_11</vt:lpwstr>
  </property>
  <property fmtid="{D5CDD505-2E9C-101B-9397-08002B2CF9AE}" pid="4" name="KSOTemplateDocerSaveRecord">
    <vt:lpwstr>eyJoZGlkIjoiYmI5YjliZDVmOTcxODViYjg0MTkxYjFiYjBmODgwZDciLCJ1c2VySWQiOiI4ODIxNzM2MDYifQ==</vt:lpwstr>
  </property>
</Properties>
</file>